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664A8" w14:textId="5DBDEA2F" w:rsidR="0070590B" w:rsidRDefault="00570B6D">
      <w:pPr>
        <w:pStyle w:val="Heading1"/>
      </w:pPr>
      <w:r w:rsidRPr="00570B6D">
        <w:rPr>
          <w:lang w:val="en-US"/>
        </w:rPr>
        <w:t xml:space="preserve">Structure–Property Interplay in </w:t>
      </w:r>
      <w:proofErr w:type="spellStart"/>
      <w:r w:rsidRPr="00570B6D">
        <w:rPr>
          <w:lang w:val="en-US"/>
        </w:rPr>
        <w:t>Cu</w:t>
      </w:r>
      <w:r w:rsidRPr="00570B6D">
        <w:rPr>
          <w:rFonts w:ascii="Cambria Math" w:hAnsi="Cambria Math" w:cs="Cambria Math"/>
          <w:lang w:val="en-US"/>
        </w:rPr>
        <w:t>₆</w:t>
      </w:r>
      <w:r w:rsidRPr="00570B6D">
        <w:rPr>
          <w:lang w:val="en-US"/>
        </w:rPr>
        <w:t>Te</w:t>
      </w:r>
      <w:proofErr w:type="spellEnd"/>
      <w:r w:rsidRPr="00570B6D">
        <w:rPr>
          <w:rFonts w:ascii="Cambria Math" w:hAnsi="Cambria Math" w:cs="Cambria Math"/>
          <w:lang w:val="en-US"/>
        </w:rPr>
        <w:t>₃₋</w:t>
      </w:r>
      <w:r w:rsidRPr="00570B6D">
        <w:rPr>
          <w:lang w:val="en-US"/>
        </w:rPr>
        <w:t>ₓS</w:t>
      </w:r>
      <w:r w:rsidRPr="00570B6D">
        <w:rPr>
          <w:rFonts w:ascii="Cambria Math" w:hAnsi="Cambria Math" w:cs="Cambria Math"/>
          <w:lang w:val="en-US"/>
        </w:rPr>
        <w:t>₁₊</w:t>
      </w:r>
      <w:r w:rsidRPr="00570B6D">
        <w:rPr>
          <w:lang w:val="en-US"/>
        </w:rPr>
        <w:t>ₓ: An Analytical Approach to Thermoelectric Optimization</w:t>
      </w:r>
      <w:r w:rsidR="000241D5">
        <w:t xml:space="preserve"> </w:t>
      </w:r>
    </w:p>
    <w:p w14:paraId="01F05AB9" w14:textId="11D54A4C" w:rsidR="0070590B" w:rsidRPr="00DA5915" w:rsidRDefault="00570B6D">
      <w:pPr>
        <w:pStyle w:val="Heading2"/>
        <w:rPr>
          <w:vertAlign w:val="superscript"/>
          <w:lang w:val="pl-PL"/>
        </w:rPr>
      </w:pPr>
      <w:r w:rsidRPr="001538C1">
        <w:rPr>
          <w:lang w:val="pl-PL"/>
        </w:rPr>
        <w:t>K. T. Wojciechowski</w:t>
      </w:r>
      <w:r>
        <w:rPr>
          <w:vertAlign w:val="superscript"/>
          <w:lang w:val="pl-PL"/>
        </w:rPr>
        <w:t>1</w:t>
      </w:r>
      <w:r>
        <w:rPr>
          <w:lang w:val="pl-PL"/>
        </w:rPr>
        <w:t>,</w:t>
      </w:r>
      <w:r>
        <w:rPr>
          <w:vertAlign w:val="superscript"/>
          <w:lang w:val="pl-PL"/>
        </w:rPr>
        <w:t xml:space="preserve"> </w:t>
      </w:r>
      <w:r w:rsidR="001538C1" w:rsidRPr="001538C1">
        <w:rPr>
          <w:lang w:val="pl-PL"/>
        </w:rPr>
        <w:t>O. Cherniushok</w:t>
      </w:r>
      <w:r>
        <w:rPr>
          <w:vertAlign w:val="superscript"/>
          <w:lang w:val="pl-PL"/>
        </w:rPr>
        <w:t>1</w:t>
      </w:r>
      <w:r w:rsidR="001538C1" w:rsidRPr="001538C1">
        <w:rPr>
          <w:lang w:val="pl-PL"/>
        </w:rPr>
        <w:t>, T. Parashchuk</w:t>
      </w:r>
      <w:r>
        <w:rPr>
          <w:vertAlign w:val="superscript"/>
          <w:lang w:val="pl-PL"/>
        </w:rPr>
        <w:t>1</w:t>
      </w:r>
      <w:r>
        <w:rPr>
          <w:lang w:val="pl-PL"/>
        </w:rPr>
        <w:t xml:space="preserve">, </w:t>
      </w:r>
      <w:r w:rsidR="00DA5915">
        <w:rPr>
          <w:lang w:val="pl-PL"/>
        </w:rPr>
        <w:t>Y. Tokaychuk</w:t>
      </w:r>
      <w:r w:rsidR="00DA5915">
        <w:rPr>
          <w:vertAlign w:val="superscript"/>
          <w:lang w:val="pl-PL"/>
        </w:rPr>
        <w:t>2</w:t>
      </w:r>
    </w:p>
    <w:p w14:paraId="0D329166" w14:textId="5E9504FC" w:rsidR="001538C1" w:rsidRDefault="00DA5915" w:rsidP="001538C1">
      <w:pPr>
        <w:pStyle w:val="Heading3"/>
        <w:rPr>
          <w:lang w:val="en-US"/>
        </w:rPr>
      </w:pPr>
      <w:r>
        <w:rPr>
          <w:vertAlign w:val="superscript"/>
          <w:lang w:val="en-US"/>
        </w:rPr>
        <w:t>1</w:t>
      </w:r>
      <w:r w:rsidR="001538C1" w:rsidRPr="001538C1">
        <w:rPr>
          <w:lang w:val="en-US"/>
        </w:rPr>
        <w:t xml:space="preserve">Thermoelectric Research Laboratory, Department of Inorganic Chemistry, Faculty of Materials Science and Ceramics, </w:t>
      </w:r>
      <w:r w:rsidR="001538C1">
        <w:rPr>
          <w:lang w:val="en-US"/>
        </w:rPr>
        <w:br/>
      </w:r>
      <w:r w:rsidR="001538C1" w:rsidRPr="001538C1">
        <w:rPr>
          <w:lang w:val="en-US"/>
        </w:rPr>
        <w:t xml:space="preserve">AGH University of Krakow, </w:t>
      </w:r>
      <w:proofErr w:type="spellStart"/>
      <w:r w:rsidR="001538C1" w:rsidRPr="001538C1">
        <w:rPr>
          <w:lang w:val="en-US"/>
        </w:rPr>
        <w:t>Mickiewicza</w:t>
      </w:r>
      <w:proofErr w:type="spellEnd"/>
      <w:r w:rsidR="001538C1" w:rsidRPr="001538C1">
        <w:rPr>
          <w:lang w:val="en-US"/>
        </w:rPr>
        <w:t xml:space="preserve"> Ave. 30, 30-059 Krakow, Poland</w:t>
      </w:r>
    </w:p>
    <w:p w14:paraId="46A52798" w14:textId="15ED2638" w:rsidR="00DA5915" w:rsidRDefault="00DA5915" w:rsidP="00DA5915">
      <w:pPr>
        <w:pStyle w:val="Heading3"/>
        <w:spacing w:after="0"/>
        <w:rPr>
          <w:bCs w:val="0"/>
          <w:iCs/>
          <w:szCs w:val="20"/>
          <w:lang w:val="en-US"/>
        </w:rPr>
      </w:pPr>
      <w:r>
        <w:rPr>
          <w:bCs w:val="0"/>
          <w:iCs/>
          <w:szCs w:val="20"/>
          <w:vertAlign w:val="superscript"/>
          <w:lang w:val="en-US"/>
        </w:rPr>
        <w:t>2</w:t>
      </w:r>
      <w:r w:rsidRPr="00DA5915">
        <w:rPr>
          <w:bCs w:val="0"/>
          <w:iCs/>
          <w:szCs w:val="20"/>
          <w:lang w:val="en-US"/>
        </w:rPr>
        <w:t xml:space="preserve">Department of Inorganic Chemistry, </w:t>
      </w:r>
    </w:p>
    <w:p w14:paraId="417C74AE" w14:textId="77777777" w:rsidR="00DA5915" w:rsidRDefault="00DA5915" w:rsidP="00DA5915">
      <w:pPr>
        <w:pStyle w:val="Heading3"/>
        <w:spacing w:after="0"/>
        <w:rPr>
          <w:bCs w:val="0"/>
          <w:i w:val="0"/>
          <w:szCs w:val="20"/>
          <w:lang w:val="en-US"/>
        </w:rPr>
      </w:pPr>
      <w:r w:rsidRPr="00DA5915">
        <w:rPr>
          <w:bCs w:val="0"/>
          <w:iCs/>
          <w:szCs w:val="20"/>
          <w:lang w:val="en-US"/>
        </w:rPr>
        <w:t xml:space="preserve">Ivan Franko National University of Lviv, </w:t>
      </w:r>
      <w:proofErr w:type="spellStart"/>
      <w:r w:rsidRPr="00DA5915">
        <w:rPr>
          <w:bCs w:val="0"/>
          <w:iCs/>
          <w:szCs w:val="20"/>
          <w:lang w:val="en-US"/>
        </w:rPr>
        <w:t>Kyryla</w:t>
      </w:r>
      <w:proofErr w:type="spellEnd"/>
      <w:r w:rsidRPr="00DA5915">
        <w:rPr>
          <w:bCs w:val="0"/>
          <w:iCs/>
          <w:szCs w:val="20"/>
          <w:lang w:val="en-US"/>
        </w:rPr>
        <w:t xml:space="preserve"> i </w:t>
      </w:r>
      <w:proofErr w:type="spellStart"/>
      <w:r w:rsidRPr="00DA5915">
        <w:rPr>
          <w:bCs w:val="0"/>
          <w:iCs/>
          <w:szCs w:val="20"/>
          <w:lang w:val="en-US"/>
        </w:rPr>
        <w:t>Mefodiya</w:t>
      </w:r>
      <w:proofErr w:type="spellEnd"/>
      <w:r w:rsidRPr="00DA5915">
        <w:rPr>
          <w:bCs w:val="0"/>
          <w:iCs/>
          <w:szCs w:val="20"/>
          <w:lang w:val="en-US"/>
        </w:rPr>
        <w:t xml:space="preserve"> St. 6, Lviv, 79005, Ukraine</w:t>
      </w:r>
      <w:r w:rsidRPr="00DA5915">
        <w:rPr>
          <w:bCs w:val="0"/>
          <w:i w:val="0"/>
          <w:szCs w:val="20"/>
          <w:lang w:val="en-US"/>
        </w:rPr>
        <w:t xml:space="preserve"> </w:t>
      </w:r>
    </w:p>
    <w:p w14:paraId="0F5D8573" w14:textId="77777777" w:rsidR="00DA5915" w:rsidRDefault="00DA5915">
      <w:pPr>
        <w:pStyle w:val="Heading3"/>
        <w:rPr>
          <w:lang w:val="en-US"/>
        </w:rPr>
      </w:pPr>
    </w:p>
    <w:p w14:paraId="1976B530" w14:textId="6A63BD2E" w:rsidR="0070590B" w:rsidRDefault="00F459A0">
      <w:pPr>
        <w:pStyle w:val="Heading3"/>
        <w:rPr>
          <w:sz w:val="18"/>
          <w:szCs w:val="18"/>
        </w:rPr>
      </w:pPr>
      <w:r>
        <w:rPr>
          <w:lang w:val="en-US"/>
        </w:rPr>
        <w:t>wojciech</w:t>
      </w:r>
      <w:r w:rsidR="001538C1" w:rsidRPr="001538C1">
        <w:rPr>
          <w:lang w:val="en-US"/>
        </w:rPr>
        <w:t>@agh.edu.pl</w:t>
      </w:r>
      <w:r w:rsidR="001538C1">
        <w:rPr>
          <w:lang w:eastAsia="de-DE"/>
        </w:rPr>
        <w:br/>
      </w:r>
    </w:p>
    <w:p w14:paraId="7A0745A4" w14:textId="53F3D6BA" w:rsidR="00570B6D" w:rsidRPr="00570B6D" w:rsidRDefault="00570B6D" w:rsidP="00570B6D">
      <w:pPr>
        <w:rPr>
          <w:bCs/>
          <w:lang w:val="en-US"/>
        </w:rPr>
      </w:pPr>
      <w:r>
        <w:rPr>
          <w:bCs/>
          <w:lang w:val="en-US"/>
        </w:rPr>
        <w:t xml:space="preserve">     </w:t>
      </w:r>
      <w:r w:rsidRPr="00570B6D">
        <w:rPr>
          <w:bCs/>
          <w:lang w:val="en-US"/>
        </w:rPr>
        <w:t xml:space="preserve">In this contribution, we present an analytical interpretation of structure–property relationships in the </w:t>
      </w:r>
      <w:proofErr w:type="spellStart"/>
      <w:r w:rsidRPr="00570B6D">
        <w:rPr>
          <w:bCs/>
          <w:lang w:val="en-US"/>
        </w:rPr>
        <w:t>Cu₆Te</w:t>
      </w:r>
      <w:proofErr w:type="spellEnd"/>
      <w:r w:rsidRPr="00570B6D">
        <w:rPr>
          <w:bCs/>
          <w:lang w:val="en-US"/>
        </w:rPr>
        <w:t>₃₋ₓS₁₊ₓ chalcogenide system, based on experimental transport data and classical physical models. We show</w:t>
      </w:r>
      <w:r>
        <w:rPr>
          <w:bCs/>
          <w:lang w:val="en-US"/>
        </w:rPr>
        <w:t xml:space="preserve"> in our previous work [1]</w:t>
      </w:r>
      <w:r w:rsidRPr="00570B6D">
        <w:rPr>
          <w:bCs/>
          <w:lang w:val="en-US"/>
        </w:rPr>
        <w:t xml:space="preserve"> that progressive substitution of </w:t>
      </w:r>
      <w:proofErr w:type="spellStart"/>
      <w:r w:rsidRPr="00570B6D">
        <w:rPr>
          <w:bCs/>
          <w:lang w:val="en-US"/>
        </w:rPr>
        <w:t>Te</w:t>
      </w:r>
      <w:proofErr w:type="spellEnd"/>
      <w:r w:rsidRPr="00570B6D">
        <w:rPr>
          <w:bCs/>
          <w:lang w:val="en-US"/>
        </w:rPr>
        <w:t xml:space="preserve"> by S leads to a substantial increase in the electronic band gap (from ~0.</w:t>
      </w:r>
      <w:r>
        <w:rPr>
          <w:bCs/>
          <w:lang w:val="en-US"/>
        </w:rPr>
        <w:t>07</w:t>
      </w:r>
      <w:r w:rsidRPr="00570B6D">
        <w:rPr>
          <w:bCs/>
          <w:lang w:val="en-US"/>
        </w:rPr>
        <w:t> eV at x = 0 to ~0.</w:t>
      </w:r>
      <w:r>
        <w:rPr>
          <w:bCs/>
          <w:lang w:val="en-US"/>
        </w:rPr>
        <w:t>2</w:t>
      </w:r>
      <w:r w:rsidRPr="00570B6D">
        <w:rPr>
          <w:bCs/>
          <w:lang w:val="en-US"/>
        </w:rPr>
        <w:t xml:space="preserve"> eV at x = </w:t>
      </w:r>
      <w:r>
        <w:rPr>
          <w:bCs/>
          <w:lang w:val="en-US"/>
        </w:rPr>
        <w:t>0.7</w:t>
      </w:r>
      <w:r w:rsidRPr="00570B6D">
        <w:rPr>
          <w:bCs/>
          <w:lang w:val="en-US"/>
        </w:rPr>
        <w:t>), which correlates with a strong enhancement of the Seebeck coefficient (from ~</w:t>
      </w:r>
      <w:r>
        <w:rPr>
          <w:bCs/>
          <w:lang w:val="en-US"/>
        </w:rPr>
        <w:t>9</w:t>
      </w:r>
      <w:r w:rsidRPr="00570B6D">
        <w:rPr>
          <w:bCs/>
          <w:lang w:val="en-US"/>
        </w:rPr>
        <w:t> </w:t>
      </w:r>
      <w:proofErr w:type="spellStart"/>
      <w:r w:rsidRPr="00570B6D">
        <w:rPr>
          <w:bCs/>
          <w:lang w:val="en-US"/>
        </w:rPr>
        <w:t>μV</w:t>
      </w:r>
      <w:proofErr w:type="spellEnd"/>
      <w:r w:rsidRPr="00570B6D">
        <w:rPr>
          <w:bCs/>
          <w:lang w:val="en-US"/>
        </w:rPr>
        <w:t>/K to ~</w:t>
      </w:r>
      <w:r>
        <w:rPr>
          <w:bCs/>
          <w:lang w:val="en-US"/>
        </w:rPr>
        <w:t>200</w:t>
      </w:r>
      <w:r w:rsidRPr="00570B6D">
        <w:rPr>
          <w:bCs/>
          <w:lang w:val="en-US"/>
        </w:rPr>
        <w:t> </w:t>
      </w:r>
      <w:proofErr w:type="spellStart"/>
      <w:r w:rsidRPr="00570B6D">
        <w:rPr>
          <w:bCs/>
          <w:lang w:val="en-US"/>
        </w:rPr>
        <w:t>μV</w:t>
      </w:r>
      <w:proofErr w:type="spellEnd"/>
      <w:r w:rsidRPr="00570B6D">
        <w:rPr>
          <w:bCs/>
          <w:lang w:val="en-US"/>
        </w:rPr>
        <w:t>/K) and a more than 40-fold decrease in electrical conductivity (from ~3600 S/cm to ~85 S/cm at 298 K).</w:t>
      </w:r>
    </w:p>
    <w:p w14:paraId="345D7D93" w14:textId="7C480D8D" w:rsidR="00570B6D" w:rsidRPr="00570B6D" w:rsidRDefault="00570B6D" w:rsidP="00570B6D">
      <w:pPr>
        <w:rPr>
          <w:bCs/>
          <w:lang w:val="en-US"/>
        </w:rPr>
      </w:pPr>
      <w:r>
        <w:rPr>
          <w:bCs/>
          <w:lang w:val="en-US"/>
        </w:rPr>
        <w:t xml:space="preserve">     </w:t>
      </w:r>
      <w:r w:rsidRPr="00570B6D">
        <w:rPr>
          <w:bCs/>
          <w:lang w:val="en-US"/>
        </w:rPr>
        <w:t xml:space="preserve">Simultaneously, ultralow lattice thermal conductivity is observed across the series. For the parent compound </w:t>
      </w:r>
      <w:proofErr w:type="spellStart"/>
      <w:r w:rsidRPr="00570B6D">
        <w:rPr>
          <w:bCs/>
          <w:lang w:val="en-US"/>
        </w:rPr>
        <w:t>Cu₆Te₃S</w:t>
      </w:r>
      <w:proofErr w:type="spellEnd"/>
      <w:r w:rsidRPr="00570B6D">
        <w:rPr>
          <w:bCs/>
          <w:lang w:val="en-US"/>
        </w:rPr>
        <w:t>, the lattice contribution drops to ~0.</w:t>
      </w:r>
      <w:r>
        <w:rPr>
          <w:bCs/>
          <w:lang w:val="en-US"/>
        </w:rPr>
        <w:t>2</w:t>
      </w:r>
      <w:r w:rsidRPr="00570B6D">
        <w:rPr>
          <w:bCs/>
          <w:lang w:val="en-US"/>
        </w:rPr>
        <w:t> W/</w:t>
      </w:r>
      <w:proofErr w:type="spellStart"/>
      <w:r w:rsidRPr="00570B6D">
        <w:rPr>
          <w:bCs/>
          <w:lang w:val="en-US"/>
        </w:rPr>
        <w:t>m·K</w:t>
      </w:r>
      <w:proofErr w:type="spellEnd"/>
      <w:r w:rsidRPr="00570B6D">
        <w:rPr>
          <w:bCs/>
          <w:lang w:val="en-US"/>
        </w:rPr>
        <w:t xml:space="preserve"> at room temperature and remains nearly temperature-independent—an effect attributed to strong phonon scattering induced by partial occupancy of Cu sites (site occupancy factor ≈ 0.5) and local </w:t>
      </w:r>
      <w:proofErr w:type="spellStart"/>
      <w:r w:rsidRPr="00570B6D">
        <w:rPr>
          <w:bCs/>
          <w:lang w:val="en-US"/>
        </w:rPr>
        <w:t>Te</w:t>
      </w:r>
      <w:proofErr w:type="spellEnd"/>
      <w:r w:rsidRPr="00570B6D">
        <w:rPr>
          <w:bCs/>
          <w:lang w:val="en-US"/>
        </w:rPr>
        <w:t xml:space="preserve">/S anionic disorder. This “crystalline-glass” behavior, confirmed independently by Liu et al. </w:t>
      </w:r>
      <w:r>
        <w:rPr>
          <w:bCs/>
          <w:lang w:val="en-US"/>
        </w:rPr>
        <w:t>[2]</w:t>
      </w:r>
      <w:r w:rsidRPr="00570B6D">
        <w:rPr>
          <w:bCs/>
          <w:lang w:val="en-US"/>
        </w:rPr>
        <w:t>, is further supported by phonon mean free paths approaching the minimum limit (~3 Å) and the emergence of Einstein-type vibrational modes in specific heat analysis.</w:t>
      </w:r>
    </w:p>
    <w:p w14:paraId="5911E61E" w14:textId="6B6A371B" w:rsidR="00265C22" w:rsidRPr="00265C22" w:rsidRDefault="00570B6D" w:rsidP="00570B6D">
      <w:pPr>
        <w:rPr>
          <w:bCs/>
          <w:lang w:val="en-US"/>
        </w:rPr>
      </w:pPr>
      <w:r>
        <w:rPr>
          <w:bCs/>
          <w:lang w:val="en-US"/>
        </w:rPr>
        <w:t xml:space="preserve">    </w:t>
      </w:r>
      <w:r w:rsidRPr="00570B6D">
        <w:rPr>
          <w:bCs/>
          <w:lang w:val="en-US"/>
        </w:rPr>
        <w:t xml:space="preserve">These results provide a foundation for a </w:t>
      </w:r>
      <w:proofErr w:type="spellStart"/>
      <w:r w:rsidRPr="00570B6D">
        <w:rPr>
          <w:bCs/>
          <w:lang w:val="en-US"/>
        </w:rPr>
        <w:t>crystallochemically</w:t>
      </w:r>
      <w:proofErr w:type="spellEnd"/>
      <w:r w:rsidRPr="00570B6D">
        <w:rPr>
          <w:bCs/>
          <w:lang w:val="en-US"/>
        </w:rPr>
        <w:t xml:space="preserve"> motivated design strategy for thermoelectric materials: combining globally ordered lattices with local structural and chemical disorder (cationic </w:t>
      </w:r>
      <w:proofErr w:type="spellStart"/>
      <w:r w:rsidRPr="00570B6D">
        <w:rPr>
          <w:bCs/>
          <w:lang w:val="en-US"/>
        </w:rPr>
        <w:t>nonstoichiometry</w:t>
      </w:r>
      <w:proofErr w:type="spellEnd"/>
      <w:r w:rsidRPr="00570B6D">
        <w:rPr>
          <w:bCs/>
          <w:lang w:val="en-US"/>
        </w:rPr>
        <w:t xml:space="preserve"> and anionic contrast) offers an efficient route toward phonon-glass electron-crystal behavior. We propose site occupancy, electronegativity contrast, and local symmetry disruption as key analytical descriptors for predicting low </w:t>
      </w:r>
      <w:proofErr w:type="spellStart"/>
      <w:r w:rsidRPr="00570B6D">
        <w:rPr>
          <w:bCs/>
          <w:lang w:val="en-US"/>
        </w:rPr>
        <w:t>κ_lat</w:t>
      </w:r>
      <w:proofErr w:type="spellEnd"/>
      <w:r w:rsidRPr="00570B6D">
        <w:rPr>
          <w:bCs/>
          <w:lang w:val="en-US"/>
        </w:rPr>
        <w:t xml:space="preserve"> and optimized thermoelectric performance without relying on numerical simulation.</w:t>
      </w:r>
      <w:r w:rsidR="00265C22" w:rsidRPr="00265C22">
        <w:rPr>
          <w:bCs/>
          <w:lang w:val="en-US"/>
        </w:rPr>
        <w:t>.</w:t>
      </w:r>
    </w:p>
    <w:p w14:paraId="2D44CE42" w14:textId="77777777" w:rsidR="00F3009C" w:rsidRPr="00F459A0" w:rsidRDefault="00F3009C" w:rsidP="00554F82">
      <w:pPr>
        <w:pStyle w:val="Heading4"/>
        <w:rPr>
          <w:lang w:val="en-US"/>
        </w:rPr>
      </w:pPr>
    </w:p>
    <w:p w14:paraId="4CEEF4CE" w14:textId="6C7DC921" w:rsidR="00554F82" w:rsidRPr="00570B6D" w:rsidRDefault="00000000" w:rsidP="00554F82">
      <w:pPr>
        <w:pStyle w:val="Heading4"/>
        <w:rPr>
          <w:szCs w:val="18"/>
          <w:lang w:val="pl-PL"/>
        </w:rPr>
      </w:pPr>
      <w:r w:rsidRPr="00570B6D">
        <w:rPr>
          <w:szCs w:val="18"/>
          <w:lang w:val="pl-PL"/>
        </w:rPr>
        <w:t xml:space="preserve">[1] </w:t>
      </w:r>
      <w:r w:rsidR="00F459A0" w:rsidRPr="00570B6D">
        <w:rPr>
          <w:szCs w:val="18"/>
          <w:lang w:val="pl-PL"/>
        </w:rPr>
        <w:t xml:space="preserve">O. Cherniushok, T. Parashchuk, G. J. Snyder, K. T. Wojciechowski, </w:t>
      </w:r>
      <w:r w:rsidR="00F459A0" w:rsidRPr="00570B6D">
        <w:rPr>
          <w:i/>
          <w:iCs/>
          <w:szCs w:val="18"/>
          <w:lang w:val="pl-PL"/>
        </w:rPr>
        <w:t>Adv. Mater.</w:t>
      </w:r>
      <w:r w:rsidR="00F459A0" w:rsidRPr="00570B6D">
        <w:rPr>
          <w:szCs w:val="18"/>
          <w:lang w:val="pl-PL"/>
        </w:rPr>
        <w:t xml:space="preserve"> 2025, </w:t>
      </w:r>
      <w:r w:rsidR="00F459A0" w:rsidRPr="00570B6D">
        <w:rPr>
          <w:b/>
          <w:bCs w:val="0"/>
          <w:szCs w:val="18"/>
          <w:lang w:val="pl-PL"/>
        </w:rPr>
        <w:t>37</w:t>
      </w:r>
      <w:r w:rsidR="00F459A0" w:rsidRPr="00570B6D">
        <w:rPr>
          <w:szCs w:val="18"/>
          <w:lang w:val="pl-PL"/>
        </w:rPr>
        <w:t>, 2420556.</w:t>
      </w:r>
    </w:p>
    <w:p w14:paraId="7F1BD2F3" w14:textId="709926A1" w:rsidR="00570B6D" w:rsidRDefault="00570B6D" w:rsidP="00570B6D">
      <w:pPr>
        <w:rPr>
          <w:sz w:val="18"/>
          <w:szCs w:val="18"/>
          <w:lang w:val="pl-PL" w:eastAsia="cs-CZ"/>
        </w:rPr>
      </w:pPr>
      <w:r w:rsidRPr="00570B6D">
        <w:rPr>
          <w:sz w:val="18"/>
          <w:szCs w:val="18"/>
          <w:lang w:val="pl-PL" w:eastAsia="cs-CZ"/>
        </w:rPr>
        <w:t xml:space="preserve">[2] </w:t>
      </w:r>
      <w:r w:rsidRPr="00570B6D">
        <w:rPr>
          <w:sz w:val="18"/>
          <w:szCs w:val="18"/>
          <w:lang w:val="pl-PL" w:eastAsia="cs-CZ"/>
        </w:rPr>
        <w:t xml:space="preserve">Z. </w:t>
      </w:r>
      <w:proofErr w:type="spellStart"/>
      <w:r w:rsidRPr="00570B6D">
        <w:rPr>
          <w:sz w:val="18"/>
          <w:szCs w:val="18"/>
          <w:lang w:val="pl-PL" w:eastAsia="cs-CZ"/>
        </w:rPr>
        <w:t>Liu</w:t>
      </w:r>
      <w:proofErr w:type="spellEnd"/>
      <w:r w:rsidRPr="00570B6D">
        <w:rPr>
          <w:sz w:val="18"/>
          <w:szCs w:val="18"/>
          <w:lang w:val="pl-PL" w:eastAsia="cs-CZ"/>
        </w:rPr>
        <w:t xml:space="preserve">, W. Zhang, W. Gao, T. Mori, </w:t>
      </w:r>
      <w:r w:rsidRPr="00570B6D">
        <w:rPr>
          <w:i/>
          <w:iCs/>
          <w:sz w:val="18"/>
          <w:szCs w:val="18"/>
          <w:lang w:val="pl-PL" w:eastAsia="cs-CZ"/>
        </w:rPr>
        <w:t xml:space="preserve">Energy </w:t>
      </w:r>
      <w:proofErr w:type="spellStart"/>
      <w:r w:rsidRPr="00570B6D">
        <w:rPr>
          <w:i/>
          <w:iCs/>
          <w:sz w:val="18"/>
          <w:szCs w:val="18"/>
          <w:lang w:val="pl-PL" w:eastAsia="cs-CZ"/>
        </w:rPr>
        <w:t>Environ</w:t>
      </w:r>
      <w:proofErr w:type="spellEnd"/>
      <w:r w:rsidRPr="00570B6D">
        <w:rPr>
          <w:i/>
          <w:iCs/>
          <w:sz w:val="18"/>
          <w:szCs w:val="18"/>
          <w:lang w:val="pl-PL" w:eastAsia="cs-CZ"/>
        </w:rPr>
        <w:t xml:space="preserve">. </w:t>
      </w:r>
      <w:proofErr w:type="spellStart"/>
      <w:r w:rsidRPr="00570B6D">
        <w:rPr>
          <w:i/>
          <w:iCs/>
          <w:sz w:val="18"/>
          <w:szCs w:val="18"/>
          <w:lang w:val="pl-PL" w:eastAsia="cs-CZ"/>
        </w:rPr>
        <w:t>Sci</w:t>
      </w:r>
      <w:proofErr w:type="spellEnd"/>
      <w:r w:rsidRPr="00570B6D">
        <w:rPr>
          <w:sz w:val="18"/>
          <w:szCs w:val="18"/>
          <w:lang w:val="pl-PL" w:eastAsia="cs-CZ"/>
        </w:rPr>
        <w:t>. 2021, 14, 3579</w:t>
      </w:r>
    </w:p>
    <w:p w14:paraId="14186AEE" w14:textId="77777777" w:rsidR="00570B6D" w:rsidRPr="00570B6D" w:rsidRDefault="00570B6D" w:rsidP="00570B6D">
      <w:pPr>
        <w:rPr>
          <w:sz w:val="18"/>
          <w:szCs w:val="18"/>
          <w:lang w:val="pl-PL" w:eastAsia="cs-CZ"/>
        </w:rPr>
      </w:pPr>
    </w:p>
    <w:p w14:paraId="7F68F9C1" w14:textId="04BECFA7" w:rsidR="0070590B" w:rsidRDefault="00E45CFD">
      <w:pPr>
        <w:pStyle w:val="Acknowledgement"/>
      </w:pPr>
      <w:r>
        <w:rPr>
          <w:lang w:eastAsia="cs-CZ"/>
        </w:rPr>
        <w:t>The research has been supported by a grant (BPN/NSF/2023/1/00010) from Polish National Agency for Academic Exchange (NAWA) under the International Multilateral Partnerships for Resilient Education and Science System in Ukraine IMPRESS-U initiative.</w:t>
      </w:r>
    </w:p>
    <w:sectPr w:rsidR="0070590B">
      <w:headerReference w:type="default" r:id="rId7"/>
      <w:footerReference w:type="default" r:id="rId8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2C198" w14:textId="77777777" w:rsidR="00F230C2" w:rsidRDefault="00F230C2">
      <w:pPr>
        <w:spacing w:after="0"/>
      </w:pPr>
      <w:r>
        <w:separator/>
      </w:r>
    </w:p>
  </w:endnote>
  <w:endnote w:type="continuationSeparator" w:id="0">
    <w:p w14:paraId="1743A41D" w14:textId="77777777" w:rsidR="00F230C2" w:rsidRDefault="00F230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CBA88" w14:textId="77777777" w:rsidR="0070590B" w:rsidRDefault="00000000">
    <w:pPr>
      <w:pStyle w:val="Footer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4F0CDEEE" w14:textId="77777777" w:rsidR="0070590B" w:rsidRDefault="0070590B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5997B" w14:textId="77777777" w:rsidR="00F230C2" w:rsidRDefault="00F230C2">
      <w:pPr>
        <w:spacing w:after="0"/>
      </w:pPr>
      <w:r>
        <w:separator/>
      </w:r>
    </w:p>
  </w:footnote>
  <w:footnote w:type="continuationSeparator" w:id="0">
    <w:p w14:paraId="1EA16C74" w14:textId="77777777" w:rsidR="00F230C2" w:rsidRDefault="00F230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183FF" w14:textId="77777777" w:rsidR="0070590B" w:rsidRDefault="00000000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embedSystemFont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Q1NLQwsTA2NDAzMrJU0lEKTi0uzszPAykwrAUAUl7QrSwAAAA="/>
  </w:docVars>
  <w:rsids>
    <w:rsidRoot w:val="0070590B"/>
    <w:rsid w:val="000241D5"/>
    <w:rsid w:val="001538C1"/>
    <w:rsid w:val="00164893"/>
    <w:rsid w:val="001C1764"/>
    <w:rsid w:val="00265C22"/>
    <w:rsid w:val="003D4728"/>
    <w:rsid w:val="00441375"/>
    <w:rsid w:val="00554F82"/>
    <w:rsid w:val="00570B6D"/>
    <w:rsid w:val="0058751D"/>
    <w:rsid w:val="005B576A"/>
    <w:rsid w:val="00607DCB"/>
    <w:rsid w:val="0070590B"/>
    <w:rsid w:val="009C5C8A"/>
    <w:rsid w:val="00B369FA"/>
    <w:rsid w:val="00DA5915"/>
    <w:rsid w:val="00E45CFD"/>
    <w:rsid w:val="00F230C2"/>
    <w:rsid w:val="00F3009C"/>
    <w:rsid w:val="00F459A0"/>
    <w:rsid w:val="00F61DE4"/>
    <w:rsid w:val="00FE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2C338"/>
  <w15:docId w15:val="{31C21C7D-5DF2-4023-A9CD-690BD887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uppressAutoHyphens/>
      <w:spacing w:after="120"/>
      <w:jc w:val="both"/>
    </w:pPr>
    <w:rPr>
      <w:lang w:val="en-GB"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538C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53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Krzysztof Wojciechowski</cp:lastModifiedBy>
  <cp:revision>2</cp:revision>
  <dcterms:created xsi:type="dcterms:W3CDTF">2025-05-20T10:39:00Z</dcterms:created>
  <dcterms:modified xsi:type="dcterms:W3CDTF">2025-05-20T10:39:00Z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