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1982" w14:textId="3ABA0A57" w:rsidR="007F741B" w:rsidRDefault="00B61729">
      <w:pPr>
        <w:pStyle w:val="Heading1"/>
      </w:pPr>
      <w:r>
        <w:t xml:space="preserve">Quantum </w:t>
      </w:r>
      <w:r w:rsidR="003A038F">
        <w:t>c</w:t>
      </w:r>
      <w:r>
        <w:t>rystallograph</w:t>
      </w:r>
      <w:r w:rsidR="003A038F">
        <w:t>ic</w:t>
      </w:r>
      <w:r>
        <w:t xml:space="preserve"> refinements from Machine Learning </w:t>
      </w:r>
      <w:r w:rsidR="00A9140F">
        <w:t>–</w:t>
      </w:r>
      <w:r>
        <w:t xml:space="preserve"> </w:t>
      </w:r>
      <w:r w:rsidR="003A038F">
        <w:t>Performance and speed b</w:t>
      </w:r>
      <w:r w:rsidR="00A9140F">
        <w:t>enchmarks</w:t>
      </w:r>
    </w:p>
    <w:p w14:paraId="05FC4FEC" w14:textId="3DE46B17" w:rsidR="007F741B" w:rsidRPr="00A9140F" w:rsidRDefault="00000000">
      <w:pPr>
        <w:pStyle w:val="Heading2"/>
        <w:rPr>
          <w:lang w:val="de-DE"/>
        </w:rPr>
      </w:pPr>
      <w:r w:rsidRPr="00A9140F">
        <w:rPr>
          <w:lang w:val="de-DE"/>
        </w:rPr>
        <w:t xml:space="preserve">F. </w:t>
      </w:r>
      <w:r w:rsidR="00B61729" w:rsidRPr="00A9140F">
        <w:rPr>
          <w:lang w:val="de-DE"/>
        </w:rPr>
        <w:t>Kleemiss</w:t>
      </w:r>
      <w:r w:rsidRPr="00A9140F">
        <w:rPr>
          <w:vertAlign w:val="superscript"/>
          <w:lang w:val="de-DE"/>
        </w:rPr>
        <w:t>1</w:t>
      </w:r>
      <w:r w:rsidRPr="00A9140F">
        <w:rPr>
          <w:lang w:val="de-DE"/>
        </w:rPr>
        <w:t xml:space="preserve">, </w:t>
      </w:r>
      <w:r w:rsidR="00B61729" w:rsidRPr="00A9140F">
        <w:rPr>
          <w:lang w:val="de-DE"/>
        </w:rPr>
        <w:t>L</w:t>
      </w:r>
      <w:r w:rsidRPr="00A9140F">
        <w:rPr>
          <w:lang w:val="de-DE"/>
        </w:rPr>
        <w:t>.</w:t>
      </w:r>
      <w:r w:rsidR="00B61729" w:rsidRPr="00A9140F">
        <w:rPr>
          <w:lang w:val="de-DE"/>
        </w:rPr>
        <w:t xml:space="preserve"> M.</w:t>
      </w:r>
      <w:r w:rsidRPr="00A9140F">
        <w:rPr>
          <w:lang w:val="de-DE"/>
        </w:rPr>
        <w:t xml:space="preserve"> </w:t>
      </w:r>
      <w:r w:rsidR="00B61729" w:rsidRPr="00A9140F">
        <w:rPr>
          <w:lang w:val="de-DE"/>
        </w:rPr>
        <w:t>Seifert</w:t>
      </w:r>
      <w:r w:rsidRPr="00A9140F">
        <w:rPr>
          <w:vertAlign w:val="superscript"/>
          <w:lang w:val="de-DE"/>
        </w:rPr>
        <w:t>1</w:t>
      </w:r>
      <w:r w:rsidRPr="00A9140F">
        <w:rPr>
          <w:lang w:val="de-DE"/>
        </w:rPr>
        <w:t xml:space="preserve">, </w:t>
      </w:r>
      <w:r w:rsidR="00B61729" w:rsidRPr="00A9140F">
        <w:rPr>
          <w:lang w:val="de-DE"/>
        </w:rPr>
        <w:t>D</w:t>
      </w:r>
      <w:r w:rsidRPr="00A9140F">
        <w:rPr>
          <w:lang w:val="de-DE"/>
        </w:rPr>
        <w:t xml:space="preserve">. </w:t>
      </w:r>
      <w:r w:rsidR="00B61729" w:rsidRPr="00A9140F">
        <w:rPr>
          <w:lang w:val="de-DE"/>
        </w:rPr>
        <w:t>Bruex</w:t>
      </w:r>
      <w:r w:rsidR="00B61729" w:rsidRPr="00A9140F">
        <w:rPr>
          <w:vertAlign w:val="superscript"/>
          <w:lang w:val="de-DE"/>
        </w:rPr>
        <w:t>1</w:t>
      </w:r>
    </w:p>
    <w:p w14:paraId="3B92C3FC" w14:textId="3E4CBD6D" w:rsidR="007F741B" w:rsidRDefault="00000000">
      <w:pPr>
        <w:pStyle w:val="Heading3"/>
      </w:pPr>
      <w:r>
        <w:rPr>
          <w:vertAlign w:val="superscript"/>
        </w:rPr>
        <w:t>1</w:t>
      </w:r>
      <w:r w:rsidR="0065765A">
        <w:t>RWTH Aachen University, Insittute of Inorganic Chemistry, Landoltweg 1a, 52074 Aachen, Germany</w:t>
      </w:r>
    </w:p>
    <w:p w14:paraId="08757DAE" w14:textId="2109FDBD" w:rsidR="007F741B" w:rsidRDefault="0065765A">
      <w:pPr>
        <w:pStyle w:val="Heading3"/>
        <w:rPr>
          <w:sz w:val="18"/>
          <w:szCs w:val="18"/>
        </w:rPr>
      </w:pPr>
      <w:r>
        <w:t>florian.kleemiss@ac.rwth-aachen.de</w:t>
      </w:r>
      <w:r w:rsidR="00000000">
        <w:rPr>
          <w:lang w:eastAsia="de-DE"/>
        </w:rPr>
        <w:br/>
      </w:r>
    </w:p>
    <w:p w14:paraId="058105C2" w14:textId="18DA3B0D" w:rsidR="003751B6" w:rsidRPr="003751B6" w:rsidRDefault="003751B6" w:rsidP="003751B6">
      <w:pPr>
        <w:autoSpaceDE w:val="0"/>
        <w:autoSpaceDN w:val="0"/>
        <w:adjustRightInd w:val="0"/>
        <w:rPr>
          <w:lang w:eastAsia="zh-CN"/>
        </w:rPr>
      </w:pPr>
      <w:r w:rsidRPr="003751B6">
        <w:rPr>
          <w:lang w:eastAsia="zh-CN"/>
        </w:rPr>
        <w:t xml:space="preserve">The refinement of X-ray and electron diffraction data benefits greatly from </w:t>
      </w:r>
      <w:r w:rsidR="00394F24">
        <w:rPr>
          <w:lang w:eastAsia="zh-CN"/>
        </w:rPr>
        <w:t xml:space="preserve">implementing a tailor-made model of the non-spherical atomic electron density, as </w:t>
      </w:r>
      <w:r w:rsidRPr="003751B6">
        <w:rPr>
          <w:lang w:eastAsia="zh-CN"/>
        </w:rPr>
        <w:t>shown in many previous works</w:t>
      </w:r>
      <w:r w:rsidRPr="003751B6">
        <w:rPr>
          <w:rStyle w:val="AuthorsafiiliationChar"/>
          <w:sz w:val="20"/>
          <w:szCs w:val="20"/>
        </w:rPr>
        <w:t>.</w:t>
      </w:r>
      <w:r w:rsidRPr="00394F24">
        <w:t>[1–3]</w:t>
      </w:r>
      <w:r w:rsidRPr="003751B6">
        <w:rPr>
          <w:rStyle w:val="AuthorsafiiliationChar"/>
          <w:sz w:val="20"/>
          <w:szCs w:val="20"/>
        </w:rPr>
        <w:t xml:space="preserve"> </w:t>
      </w:r>
      <w:r w:rsidRPr="003751B6">
        <w:rPr>
          <w:rStyle w:val="AuthorsafiiliationChar"/>
          <w:i w:val="0"/>
          <w:iCs/>
          <w:sz w:val="20"/>
          <w:szCs w:val="20"/>
        </w:rPr>
        <w:t xml:space="preserve">The major drawback of these methods is the significantly increased computational effort required, as is the case for Hirshfeld Atom Refinement (HAR), or the limitation of </w:t>
      </w:r>
      <w:r w:rsidR="00394F24">
        <w:rPr>
          <w:rStyle w:val="AuthorsafiiliationChar"/>
          <w:i w:val="0"/>
          <w:iCs/>
          <w:sz w:val="20"/>
          <w:szCs w:val="20"/>
        </w:rPr>
        <w:t>applicability</w:t>
      </w:r>
      <w:r w:rsidRPr="003751B6">
        <w:rPr>
          <w:rStyle w:val="AuthorsafiiliationChar"/>
          <w:i w:val="0"/>
          <w:iCs/>
          <w:sz w:val="20"/>
          <w:szCs w:val="20"/>
        </w:rPr>
        <w:t xml:space="preserve"> in case of transferable aspherical atom models (TAAM).</w:t>
      </w:r>
      <w:r w:rsidRPr="00394F24">
        <w:t>[4]</w:t>
      </w:r>
    </w:p>
    <w:p w14:paraId="59FB1182" w14:textId="3B23279D" w:rsidR="003751B6" w:rsidRPr="00845BF7" w:rsidRDefault="003751B6" w:rsidP="003751B6">
      <w:pPr>
        <w:autoSpaceDE w:val="0"/>
        <w:autoSpaceDN w:val="0"/>
        <w:adjustRightInd w:val="0"/>
      </w:pPr>
      <w:r>
        <w:t>To overcome this limitation</w:t>
      </w:r>
      <w:r w:rsidR="00394F24">
        <w:t>,</w:t>
      </w:r>
      <w:r>
        <w:t xml:space="preserve"> we incorporate two new possibilities in the framework of NoSpherA2</w:t>
      </w:r>
      <w:r w:rsidR="00394F24">
        <w:t>, the interface to non-spherical atoms in Olex2:[2] the interface to the PTB program[5] package for semi-empirical QM calculations, as well as a newly developed workflow incorporating the Symmetry-adapted</w:t>
      </w:r>
      <w:r>
        <w:t xml:space="preserve"> learning of </w:t>
      </w:r>
      <w:r>
        <w:t>three-dimensional electron densities (SALTED),[6,7] trained on large sets of molecular geometries obtained by meta-dynamics</w:t>
      </w:r>
      <w:r>
        <w:t xml:space="preserve"> simulations.</w:t>
      </w:r>
      <w:r w:rsidR="00A9140F">
        <w:t xml:space="preserve"> </w:t>
      </w:r>
      <w:r>
        <w:t>One of the biggest advantages of the chosen implementation</w:t>
      </w:r>
      <w:r w:rsidR="00A9140F">
        <w:t xml:space="preserve"> – Gaussian Process Regression -</w:t>
      </w:r>
      <w:r>
        <w:t xml:space="preserve"> is the possibility to give uncertainty measures of predicted values, allowing </w:t>
      </w:r>
      <w:r>
        <w:rPr>
          <w:i/>
          <w:iCs/>
        </w:rPr>
        <w:t>in operando</w:t>
      </w:r>
      <w:r>
        <w:t xml:space="preserve"> judgment of the prediction results.</w:t>
      </w:r>
    </w:p>
    <w:p w14:paraId="0FDB837E" w14:textId="7AF6C71F" w:rsidR="003751B6" w:rsidRDefault="003751B6" w:rsidP="003751B6">
      <w:pPr>
        <w:autoSpaceDE w:val="0"/>
        <w:autoSpaceDN w:val="0"/>
        <w:adjustRightInd w:val="0"/>
      </w:pPr>
      <w:r>
        <w:t xml:space="preserve">We will </w:t>
      </w:r>
      <w:r w:rsidR="00A9140F">
        <w:t>compare</w:t>
      </w:r>
      <w:r>
        <w:t xml:space="preserve"> refinement results obtained from the established models, including </w:t>
      </w:r>
      <w:r w:rsidR="00394F24">
        <w:t xml:space="preserve">classical </w:t>
      </w:r>
      <w:r>
        <w:t>HAR</w:t>
      </w:r>
      <w:r w:rsidR="00A9140F">
        <w:t xml:space="preserve"> on different levels of theory</w:t>
      </w:r>
      <w:r>
        <w:t>, alongside results from the new implementations</w:t>
      </w:r>
      <w:r w:rsidR="00394F24">
        <w:t>,</w:t>
      </w:r>
      <w:r>
        <w:t xml:space="preserve"> and highlight performance and weaknesses of each approach on a large set of benchmark diffraction data.</w:t>
      </w:r>
    </w:p>
    <w:p w14:paraId="4363D121" w14:textId="6B06904D" w:rsidR="007F741B" w:rsidRDefault="0065765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0C2D0" wp14:editId="1306D3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7447047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41D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C81E35">
        <w:rPr>
          <w:b/>
          <w:noProof/>
          <w:lang w:eastAsia="zh-CN"/>
        </w:rPr>
        <w:drawing>
          <wp:inline distT="0" distB="0" distL="0" distR="0" wp14:anchorId="5D76C619" wp14:editId="03C15763">
            <wp:extent cx="1926458" cy="2228850"/>
            <wp:effectExtent l="0" t="0" r="0" b="0"/>
            <wp:docPr id="1686636139" name="Picture 7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24" cy="223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AC8EF" w14:textId="26C58D10" w:rsidR="007F741B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C81E35" w:rsidRPr="00C81E35">
        <w:t>Comparison of R-value</w:t>
      </w:r>
      <w:r w:rsidR="00C81E35">
        <w:t>(top, triangle)</w:t>
      </w:r>
      <w:r w:rsidR="00C81E35" w:rsidRPr="00C81E35">
        <w:t>, performance against neutron diffraction data</w:t>
      </w:r>
      <w:r w:rsidR="00C81E35">
        <w:t>(top, square)</w:t>
      </w:r>
      <w:r w:rsidR="00A9140F">
        <w:t>, and timing on a logarithmic scale (bottom) of IAM, high-level HAR, low-level HAR, semi-empirical method (PTB),</w:t>
      </w:r>
      <w:r w:rsidR="00C81E35" w:rsidRPr="00C81E35">
        <w:t xml:space="preserve"> and </w:t>
      </w:r>
      <w:r w:rsidR="00A9140F">
        <w:t>the</w:t>
      </w:r>
      <w:r w:rsidR="00C81E35" w:rsidRPr="00C81E35">
        <w:t xml:space="preserve"> Machine Learning Model (ML) performed on a desktop computer.</w:t>
      </w:r>
    </w:p>
    <w:p w14:paraId="30C2A0AE" w14:textId="77777777" w:rsidR="006C7D6D" w:rsidRPr="006C7D6D" w:rsidRDefault="006C7D6D" w:rsidP="006C7D6D"/>
    <w:p w14:paraId="10CCF365" w14:textId="77777777" w:rsidR="003751B6" w:rsidRPr="00C81E35" w:rsidRDefault="00000000">
      <w:pPr>
        <w:pStyle w:val="Heading4"/>
        <w:rPr>
          <w:szCs w:val="18"/>
          <w:lang w:val="de-DE"/>
        </w:rPr>
      </w:pPr>
      <w:r w:rsidRPr="00C81E35">
        <w:rPr>
          <w:szCs w:val="18"/>
          <w:lang w:val="de-DE"/>
        </w:rPr>
        <w:t xml:space="preserve">[1] </w:t>
      </w:r>
      <w:r w:rsidR="003751B6" w:rsidRPr="00C81E35">
        <w:rPr>
          <w:szCs w:val="18"/>
          <w:lang w:val="de-DE"/>
        </w:rPr>
        <w:t xml:space="preserve">M. Woińska et al., </w:t>
      </w:r>
      <w:r w:rsidR="003751B6" w:rsidRPr="00C81E35">
        <w:rPr>
          <w:i/>
          <w:iCs/>
          <w:szCs w:val="18"/>
          <w:lang w:val="de-DE"/>
        </w:rPr>
        <w:t>Sci. Adv.,</w:t>
      </w:r>
      <w:r w:rsidR="003751B6" w:rsidRPr="00C81E35">
        <w:rPr>
          <w:szCs w:val="18"/>
          <w:lang w:val="de-DE"/>
        </w:rPr>
        <w:t xml:space="preserve"> </w:t>
      </w:r>
      <w:r w:rsidR="003751B6" w:rsidRPr="00C81E35">
        <w:rPr>
          <w:b/>
          <w:szCs w:val="18"/>
          <w:lang w:val="de-DE"/>
        </w:rPr>
        <w:t>2</w:t>
      </w:r>
      <w:r w:rsidR="003751B6" w:rsidRPr="00C81E35">
        <w:rPr>
          <w:szCs w:val="18"/>
          <w:lang w:val="de-DE"/>
        </w:rPr>
        <w:t xml:space="preserve"> (2016), e1600192.</w:t>
      </w:r>
    </w:p>
    <w:p w14:paraId="68E31376" w14:textId="77777777" w:rsidR="003751B6" w:rsidRPr="003751B6" w:rsidRDefault="00000000">
      <w:pPr>
        <w:pStyle w:val="Heading4"/>
        <w:rPr>
          <w:szCs w:val="18"/>
          <w:lang w:val="de-DE"/>
        </w:rPr>
      </w:pPr>
      <w:r w:rsidRPr="003751B6">
        <w:rPr>
          <w:szCs w:val="18"/>
          <w:lang w:val="de-DE"/>
        </w:rPr>
        <w:t xml:space="preserve">[2] </w:t>
      </w:r>
      <w:r w:rsidR="003751B6" w:rsidRPr="003751B6">
        <w:rPr>
          <w:szCs w:val="18"/>
          <w:lang w:val="de-DE"/>
        </w:rPr>
        <w:t xml:space="preserve">F. Kleemiss, et al., </w:t>
      </w:r>
      <w:r w:rsidR="003751B6" w:rsidRPr="003751B6">
        <w:rPr>
          <w:i/>
          <w:iCs/>
          <w:szCs w:val="18"/>
          <w:lang w:val="de-DE"/>
        </w:rPr>
        <w:t xml:space="preserve">Chem. Sci. </w:t>
      </w:r>
      <w:r w:rsidR="003751B6" w:rsidRPr="003751B6">
        <w:rPr>
          <w:b/>
          <w:szCs w:val="18"/>
          <w:lang w:val="de-DE"/>
        </w:rPr>
        <w:t xml:space="preserve">12 </w:t>
      </w:r>
      <w:r w:rsidR="003751B6" w:rsidRPr="003751B6">
        <w:rPr>
          <w:szCs w:val="18"/>
          <w:lang w:val="de-DE"/>
        </w:rPr>
        <w:t>(2021), 1675–1692.</w:t>
      </w:r>
    </w:p>
    <w:p w14:paraId="054E1E9B" w14:textId="77777777" w:rsidR="003751B6" w:rsidRPr="003751B6" w:rsidRDefault="00000000">
      <w:pPr>
        <w:pStyle w:val="Heading4"/>
        <w:rPr>
          <w:rFonts w:eastAsia="SimSun"/>
          <w:bCs w:val="0"/>
          <w:szCs w:val="18"/>
          <w:lang w:val="en-US" w:eastAsia="en-US"/>
        </w:rPr>
      </w:pPr>
      <w:r w:rsidRPr="003751B6">
        <w:rPr>
          <w:szCs w:val="18"/>
        </w:rPr>
        <w:t xml:space="preserve">[3] </w:t>
      </w:r>
      <w:r w:rsidR="003751B6" w:rsidRPr="003751B6">
        <w:rPr>
          <w:rFonts w:eastAsia="SimSun"/>
          <w:bCs w:val="0"/>
          <w:szCs w:val="18"/>
          <w:lang w:val="en-US" w:eastAsia="en-US"/>
        </w:rPr>
        <w:t xml:space="preserve">B. Gruza, et al., </w:t>
      </w:r>
      <w:r w:rsidR="003751B6" w:rsidRPr="003751B6">
        <w:rPr>
          <w:rFonts w:eastAsia="SimSun"/>
          <w:bCs w:val="0"/>
          <w:i/>
          <w:iCs/>
          <w:szCs w:val="18"/>
          <w:lang w:val="en-US" w:eastAsia="en-US"/>
        </w:rPr>
        <w:t>Acta Cryst.</w:t>
      </w:r>
      <w:r w:rsidR="003751B6" w:rsidRPr="003751B6">
        <w:rPr>
          <w:rFonts w:eastAsia="SimSun"/>
          <w:bCs w:val="0"/>
          <w:szCs w:val="18"/>
          <w:lang w:val="en-US" w:eastAsia="en-US"/>
        </w:rPr>
        <w:t xml:space="preserve"> </w:t>
      </w:r>
      <w:r w:rsidR="003751B6" w:rsidRPr="003751B6">
        <w:rPr>
          <w:rFonts w:eastAsia="SimSun"/>
          <w:b/>
          <w:szCs w:val="18"/>
          <w:lang w:val="en-US" w:eastAsia="en-US"/>
        </w:rPr>
        <w:t xml:space="preserve">A76 </w:t>
      </w:r>
      <w:r w:rsidR="003751B6" w:rsidRPr="003751B6">
        <w:rPr>
          <w:rFonts w:eastAsia="SimSun"/>
          <w:bCs w:val="0"/>
          <w:szCs w:val="18"/>
          <w:lang w:val="en-US" w:eastAsia="en-US"/>
        </w:rPr>
        <w:t>(2020), 92–109.</w:t>
      </w:r>
    </w:p>
    <w:p w14:paraId="13959A2A" w14:textId="77777777" w:rsidR="003751B6" w:rsidRPr="003751B6" w:rsidRDefault="00000000" w:rsidP="003751B6">
      <w:pPr>
        <w:pStyle w:val="Heading4"/>
        <w:rPr>
          <w:szCs w:val="18"/>
        </w:rPr>
      </w:pPr>
      <w:r w:rsidRPr="003751B6">
        <w:rPr>
          <w:szCs w:val="18"/>
        </w:rPr>
        <w:t xml:space="preserve">[4] </w:t>
      </w:r>
      <w:r w:rsidR="003751B6" w:rsidRPr="003751B6">
        <w:rPr>
          <w:szCs w:val="18"/>
        </w:rPr>
        <w:t xml:space="preserve">K. K. Jha, et al., </w:t>
      </w:r>
      <w:r w:rsidR="003751B6" w:rsidRPr="003751B6">
        <w:rPr>
          <w:i/>
          <w:iCs/>
          <w:szCs w:val="18"/>
        </w:rPr>
        <w:t xml:space="preserve">J. Appl. Cryst. </w:t>
      </w:r>
      <w:r w:rsidR="003751B6" w:rsidRPr="003751B6">
        <w:rPr>
          <w:b/>
          <w:szCs w:val="18"/>
        </w:rPr>
        <w:t>56</w:t>
      </w:r>
      <w:r w:rsidR="003751B6" w:rsidRPr="003751B6">
        <w:rPr>
          <w:szCs w:val="18"/>
        </w:rPr>
        <w:t xml:space="preserve"> (2023), 116–127.</w:t>
      </w:r>
    </w:p>
    <w:p w14:paraId="61032EF1" w14:textId="16CC0E09" w:rsidR="003751B6" w:rsidRPr="003751B6" w:rsidRDefault="003751B6" w:rsidP="003751B6">
      <w:pPr>
        <w:rPr>
          <w:sz w:val="18"/>
          <w:szCs w:val="18"/>
        </w:rPr>
      </w:pPr>
      <w:r w:rsidRPr="003751B6">
        <w:rPr>
          <w:sz w:val="18"/>
          <w:szCs w:val="18"/>
          <w:lang w:eastAsia="cs-CZ"/>
        </w:rPr>
        <w:t xml:space="preserve">[5] </w:t>
      </w:r>
      <w:r w:rsidRPr="003751B6">
        <w:rPr>
          <w:sz w:val="18"/>
          <w:szCs w:val="18"/>
        </w:rPr>
        <w:t xml:space="preserve">S. Grimme, et al., </w:t>
      </w:r>
      <w:r w:rsidRPr="003751B6">
        <w:rPr>
          <w:i/>
          <w:iCs/>
          <w:sz w:val="18"/>
          <w:szCs w:val="18"/>
        </w:rPr>
        <w:t xml:space="preserve">J. Chem. Phys. </w:t>
      </w:r>
      <w:r w:rsidRPr="003751B6">
        <w:rPr>
          <w:b/>
          <w:bCs/>
          <w:sz w:val="18"/>
          <w:szCs w:val="18"/>
        </w:rPr>
        <w:t>158</w:t>
      </w:r>
      <w:r w:rsidRPr="003751B6">
        <w:rPr>
          <w:sz w:val="18"/>
          <w:szCs w:val="18"/>
        </w:rPr>
        <w:t xml:space="preserve"> (2023), </w:t>
      </w:r>
      <w:r w:rsidRPr="003751B6">
        <w:rPr>
          <w:i/>
          <w:iCs/>
          <w:sz w:val="18"/>
          <w:szCs w:val="18"/>
        </w:rPr>
        <w:t>158</w:t>
      </w:r>
      <w:r w:rsidRPr="003751B6">
        <w:rPr>
          <w:sz w:val="18"/>
          <w:szCs w:val="18"/>
        </w:rPr>
        <w:t>, 124111.</w:t>
      </w:r>
    </w:p>
    <w:p w14:paraId="53CB9ED7" w14:textId="15F621EA" w:rsidR="003751B6" w:rsidRPr="003751B6" w:rsidRDefault="003751B6" w:rsidP="003751B6">
      <w:pPr>
        <w:rPr>
          <w:rFonts w:eastAsia="SimSun"/>
          <w:sz w:val="18"/>
          <w:szCs w:val="18"/>
          <w:lang w:val="en-US" w:eastAsia="en-US"/>
        </w:rPr>
      </w:pPr>
      <w:r w:rsidRPr="003751B6">
        <w:rPr>
          <w:sz w:val="18"/>
          <w:szCs w:val="18"/>
        </w:rPr>
        <w:t xml:space="preserve">[6] </w:t>
      </w:r>
      <w:r w:rsidRPr="003751B6">
        <w:rPr>
          <w:rFonts w:eastAsia="SimSun"/>
          <w:sz w:val="18"/>
          <w:szCs w:val="18"/>
          <w:lang w:val="en-US" w:eastAsia="en-US"/>
        </w:rPr>
        <w:t xml:space="preserve">A. Grisafi, et al., </w:t>
      </w:r>
      <w:r w:rsidRPr="003751B6">
        <w:rPr>
          <w:rFonts w:eastAsia="SimSun"/>
          <w:i/>
          <w:iCs/>
          <w:sz w:val="18"/>
          <w:szCs w:val="18"/>
          <w:lang w:val="en-US" w:eastAsia="en-US"/>
        </w:rPr>
        <w:t>J. Chem. Theory Comput.</w:t>
      </w:r>
      <w:r w:rsidRPr="003751B6">
        <w:rPr>
          <w:rFonts w:eastAsia="SimSun"/>
          <w:sz w:val="18"/>
          <w:szCs w:val="18"/>
          <w:lang w:val="en-US" w:eastAsia="en-US"/>
        </w:rPr>
        <w:t xml:space="preserve"> </w:t>
      </w:r>
      <w:r w:rsidRPr="003751B6">
        <w:rPr>
          <w:rFonts w:eastAsia="SimSun"/>
          <w:b/>
          <w:bCs/>
          <w:sz w:val="18"/>
          <w:szCs w:val="18"/>
          <w:lang w:val="en-US" w:eastAsia="en-US"/>
        </w:rPr>
        <w:t xml:space="preserve">19 </w:t>
      </w:r>
      <w:r w:rsidRPr="003751B6">
        <w:rPr>
          <w:rFonts w:eastAsia="SimSun"/>
          <w:sz w:val="18"/>
          <w:szCs w:val="18"/>
          <w:lang w:val="en-US" w:eastAsia="en-US"/>
        </w:rPr>
        <w:t>(2023), 4451–4460.</w:t>
      </w:r>
    </w:p>
    <w:p w14:paraId="6F1FDF08" w14:textId="77777777" w:rsidR="003751B6" w:rsidRPr="003751B6" w:rsidRDefault="003751B6" w:rsidP="003751B6">
      <w:pPr>
        <w:pStyle w:val="Bibliography"/>
        <w:rPr>
          <w:sz w:val="18"/>
          <w:szCs w:val="18"/>
        </w:rPr>
      </w:pPr>
      <w:r w:rsidRPr="003751B6">
        <w:rPr>
          <w:sz w:val="18"/>
          <w:szCs w:val="18"/>
        </w:rPr>
        <w:t xml:space="preserve">[7] </w:t>
      </w:r>
      <w:r w:rsidRPr="003751B6">
        <w:rPr>
          <w:sz w:val="18"/>
          <w:szCs w:val="18"/>
        </w:rPr>
        <w:t xml:space="preserve">A. M. Lewis, et al., </w:t>
      </w:r>
      <w:r w:rsidRPr="003751B6">
        <w:rPr>
          <w:i/>
          <w:iCs/>
          <w:sz w:val="18"/>
          <w:szCs w:val="18"/>
        </w:rPr>
        <w:t>J. Chem. Theory Comput.</w:t>
      </w:r>
      <w:r w:rsidRPr="003751B6">
        <w:rPr>
          <w:sz w:val="18"/>
          <w:szCs w:val="18"/>
        </w:rPr>
        <w:t xml:space="preserve"> </w:t>
      </w:r>
      <w:r w:rsidRPr="003751B6">
        <w:rPr>
          <w:b/>
          <w:bCs/>
          <w:sz w:val="18"/>
          <w:szCs w:val="18"/>
        </w:rPr>
        <w:t>17</w:t>
      </w:r>
      <w:r w:rsidRPr="003751B6">
        <w:rPr>
          <w:sz w:val="18"/>
          <w:szCs w:val="18"/>
        </w:rPr>
        <w:t xml:space="preserve"> (2021), 7203–7214.</w:t>
      </w:r>
    </w:p>
    <w:p w14:paraId="7BE56E39" w14:textId="77777777" w:rsidR="003751B6" w:rsidRDefault="003751B6" w:rsidP="006E18BA">
      <w:pPr>
        <w:pStyle w:val="Heading4"/>
        <w:ind w:left="0" w:firstLine="0"/>
        <w:rPr>
          <w:sz w:val="20"/>
        </w:rPr>
      </w:pPr>
    </w:p>
    <w:p w14:paraId="46FEDD68" w14:textId="6D47F095" w:rsidR="007F741B" w:rsidRPr="006E18BA" w:rsidRDefault="003751B6" w:rsidP="003751B6">
      <w:pPr>
        <w:pStyle w:val="Heading4"/>
        <w:rPr>
          <w:i/>
          <w:iCs/>
        </w:rPr>
      </w:pPr>
      <w:r w:rsidRPr="006E18BA">
        <w:rPr>
          <w:i/>
          <w:iCs/>
        </w:rPr>
        <w:t>We greatly acknowledge the discussion and help from Marianna Rossi and her group from the Max Planck Institute for the Structure and Dynamics of Matter.</w:t>
      </w:r>
    </w:p>
    <w:sectPr w:rsidR="007F741B" w:rsidRPr="006E18BA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5C9B" w14:textId="77777777" w:rsidR="00153D35" w:rsidRDefault="00153D35">
      <w:pPr>
        <w:spacing w:after="0"/>
      </w:pPr>
      <w:r>
        <w:separator/>
      </w:r>
    </w:p>
  </w:endnote>
  <w:endnote w:type="continuationSeparator" w:id="0">
    <w:p w14:paraId="0D9A871A" w14:textId="77777777" w:rsidR="00153D35" w:rsidRDefault="00153D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6A8C" w14:textId="77777777" w:rsidR="007F741B" w:rsidRDefault="00000000">
    <w:pPr>
      <w:pStyle w:val="Footer"/>
    </w:pPr>
    <w:r>
      <w:t>Acta Cryst. (2025). A81, e1</w:t>
    </w:r>
  </w:p>
  <w:p w14:paraId="557A1FED" w14:textId="77777777" w:rsidR="007F741B" w:rsidRDefault="007F741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A189E" w14:textId="77777777" w:rsidR="00153D35" w:rsidRDefault="00153D35">
      <w:pPr>
        <w:spacing w:after="0"/>
      </w:pPr>
      <w:r>
        <w:separator/>
      </w:r>
    </w:p>
  </w:footnote>
  <w:footnote w:type="continuationSeparator" w:id="0">
    <w:p w14:paraId="01F51C41" w14:textId="77777777" w:rsidR="00153D35" w:rsidRDefault="00153D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1B54" w14:textId="77777777" w:rsidR="007F741B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1B"/>
    <w:rsid w:val="00153D35"/>
    <w:rsid w:val="003751B6"/>
    <w:rsid w:val="00394F24"/>
    <w:rsid w:val="003A038F"/>
    <w:rsid w:val="00547BE9"/>
    <w:rsid w:val="00610D59"/>
    <w:rsid w:val="0065765A"/>
    <w:rsid w:val="006C7D6D"/>
    <w:rsid w:val="006E18BA"/>
    <w:rsid w:val="007F741B"/>
    <w:rsid w:val="00A9140F"/>
    <w:rsid w:val="00B61729"/>
    <w:rsid w:val="00C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C56A60"/>
  <w15:docId w15:val="{DB731135-4720-4FFB-98D8-4C69B643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ext">
    <w:name w:val="Paper text"/>
    <w:basedOn w:val="Normal"/>
    <w:rsid w:val="003751B6"/>
    <w:pPr>
      <w:suppressAutoHyphens w:val="0"/>
      <w:spacing w:after="0"/>
    </w:pPr>
    <w:rPr>
      <w:rFonts w:eastAsia="SimSun"/>
      <w:sz w:val="24"/>
      <w:szCs w:val="24"/>
      <w:lang w:val="en-US" w:eastAsia="en-US"/>
    </w:rPr>
  </w:style>
  <w:style w:type="character" w:customStyle="1" w:styleId="AuthorsafiiliationChar">
    <w:name w:val="Author's afiiliation Char"/>
    <w:rsid w:val="003751B6"/>
    <w:rPr>
      <w:i/>
      <w:sz w:val="24"/>
      <w:szCs w:val="24"/>
      <w:lang w:val="hr-HR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51B6"/>
    <w:pPr>
      <w:suppressAutoHyphens w:val="0"/>
      <w:spacing w:after="0"/>
      <w:jc w:val="left"/>
    </w:pPr>
    <w:rPr>
      <w:rFonts w:eastAsia="SimSu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2149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Florian Kleemiß</cp:lastModifiedBy>
  <cp:revision>5</cp:revision>
  <dcterms:created xsi:type="dcterms:W3CDTF">2025-05-09T14:26:00Z</dcterms:created>
  <dcterms:modified xsi:type="dcterms:W3CDTF">2025-05-09T14:32:00Z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e3223189-0a5f-47f8-849d-5835c2630886</vt:lpwstr>
  </property>
</Properties>
</file>