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6984" w14:textId="68A6B10E" w:rsidR="00160BD1" w:rsidRPr="00160BD1" w:rsidRDefault="00160BD1" w:rsidP="00160BD1">
      <w:pPr>
        <w:pStyle w:val="Heading1"/>
        <w:rPr>
          <w:lang w:val="en-US"/>
        </w:rPr>
      </w:pPr>
      <w:proofErr w:type="spellStart"/>
      <w:r w:rsidRPr="00160BD1">
        <w:t>ePDF</w:t>
      </w:r>
      <w:proofErr w:type="spellEnd"/>
      <w:r w:rsidRPr="00160BD1">
        <w:t xml:space="preserve"> mapping: a new tool for </w:t>
      </w:r>
      <w:proofErr w:type="spellStart"/>
      <w:r w:rsidRPr="00160BD1">
        <w:t>nanometer</w:t>
      </w:r>
      <w:proofErr w:type="spellEnd"/>
      <w:r w:rsidR="00192BF8">
        <w:t xml:space="preserve"> </w:t>
      </w:r>
      <w:r w:rsidRPr="00160BD1">
        <w:t>scale analysis of amorphous materials</w:t>
      </w:r>
      <w:r w:rsidRPr="00160BD1">
        <w:rPr>
          <w:lang w:val="en-US"/>
        </w:rPr>
        <w:t xml:space="preserve"> </w:t>
      </w:r>
    </w:p>
    <w:p w14:paraId="26EF014B" w14:textId="3333D28F" w:rsidR="00160BD1" w:rsidRPr="00B14831" w:rsidRDefault="7CA4661C" w:rsidP="7CA4661C">
      <w:pPr>
        <w:spacing w:before="240" w:after="240"/>
        <w:jc w:val="center"/>
        <w:rPr>
          <w:rFonts w:ascii="Arial" w:hAnsi="Arial" w:cs="Arial"/>
          <w:b/>
          <w:bCs/>
          <w:vertAlign w:val="superscript"/>
          <w:lang w:val="en-US"/>
        </w:rPr>
      </w:pPr>
      <w:r w:rsidRPr="7CA4661C">
        <w:rPr>
          <w:rFonts w:ascii="Arial" w:hAnsi="Arial" w:cs="Arial"/>
          <w:b/>
          <w:bCs/>
          <w:lang w:val="en-US"/>
        </w:rPr>
        <w:t>P. P. Das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  <w:r w:rsidRPr="7CA4661C">
        <w:rPr>
          <w:rFonts w:ascii="Arial" w:hAnsi="Arial" w:cs="Arial"/>
          <w:b/>
          <w:bCs/>
          <w:lang w:val="en-US"/>
        </w:rPr>
        <w:t>, A. Gomez-Perez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  <w:r w:rsidRPr="7CA4661C">
        <w:rPr>
          <w:rFonts w:ascii="Arial" w:hAnsi="Arial" w:cs="Arial"/>
          <w:b/>
          <w:bCs/>
          <w:lang w:val="en-US"/>
        </w:rPr>
        <w:t>, E. Grivas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  <w:r w:rsidRPr="7CA4661C">
        <w:rPr>
          <w:rFonts w:ascii="Arial" w:hAnsi="Arial" w:cs="Arial"/>
          <w:b/>
          <w:bCs/>
          <w:lang w:val="en-US"/>
        </w:rPr>
        <w:t>, S. Nicolopoulos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  <w:r w:rsidRPr="7CA4661C">
        <w:rPr>
          <w:rFonts w:ascii="Arial" w:hAnsi="Arial" w:cs="Arial"/>
          <w:b/>
          <w:bCs/>
          <w:lang w:val="en-US"/>
        </w:rPr>
        <w:t>, S. J.  L. Billinge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 xml:space="preserve"> 2</w:t>
      </w:r>
      <w:r w:rsidRPr="7CA4661C">
        <w:rPr>
          <w:rFonts w:ascii="Arial" w:hAnsi="Arial" w:cs="Arial"/>
          <w:b/>
          <w:bCs/>
          <w:lang w:val="en-US"/>
        </w:rPr>
        <w:t>, A.S. Galanis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  <w:r w:rsidRPr="7CA4661C">
        <w:rPr>
          <w:rFonts w:ascii="Arial" w:hAnsi="Arial" w:cs="Arial"/>
          <w:b/>
          <w:bCs/>
          <w:lang w:val="en-US"/>
        </w:rPr>
        <w:t xml:space="preserve">, E. </w:t>
      </w:r>
      <w:r w:rsidR="001A42A0">
        <w:rPr>
          <w:rFonts w:ascii="Arial" w:hAnsi="Arial" w:cs="Arial"/>
          <w:b/>
          <w:bCs/>
          <w:lang w:val="en-US"/>
        </w:rPr>
        <w:t xml:space="preserve">F. </w:t>
      </w:r>
      <w:r w:rsidRPr="7CA4661C">
        <w:rPr>
          <w:rFonts w:ascii="Arial" w:hAnsi="Arial" w:cs="Arial"/>
          <w:b/>
          <w:bCs/>
          <w:lang w:val="en-US"/>
        </w:rPr>
        <w:t>Rauch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3</w:t>
      </w:r>
      <w:r w:rsidRPr="7CA4661C">
        <w:rPr>
          <w:rFonts w:ascii="Arial" w:hAnsi="Arial" w:cs="Arial"/>
          <w:b/>
          <w:bCs/>
          <w:lang w:val="en-US"/>
        </w:rPr>
        <w:t>, J. Portillo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  <w:r w:rsidRPr="7CA4661C">
        <w:rPr>
          <w:rFonts w:ascii="Arial" w:hAnsi="Arial" w:cs="Arial"/>
          <w:b/>
          <w:bCs/>
          <w:lang w:val="en-US"/>
        </w:rPr>
        <w:t>, M. J. Fransen</w:t>
      </w:r>
      <w:r w:rsidRPr="7CA4661C">
        <w:rPr>
          <w:rFonts w:ascii="Arial" w:hAnsi="Arial" w:cs="Arial"/>
          <w:b/>
          <w:bCs/>
          <w:vertAlign w:val="superscript"/>
          <w:lang w:val="en-US"/>
        </w:rPr>
        <w:t>1</w:t>
      </w:r>
    </w:p>
    <w:p w14:paraId="2E215A66" w14:textId="49FA7E61" w:rsidR="00BB5CF9" w:rsidRPr="00160BD1" w:rsidRDefault="7CA4661C" w:rsidP="0ACA2765">
      <w:pPr>
        <w:pStyle w:val="Heading3"/>
        <w:rPr>
          <w:lang w:val="en-US"/>
        </w:rPr>
      </w:pPr>
      <w:r w:rsidRPr="7CA4661C">
        <w:rPr>
          <w:vertAlign w:val="superscript"/>
        </w:rPr>
        <w:t>1</w:t>
      </w:r>
      <w:r>
        <w:t xml:space="preserve">NanoMEGAS SRL, Rue </w:t>
      </w:r>
      <w:proofErr w:type="spellStart"/>
      <w:r>
        <w:t>Èmile</w:t>
      </w:r>
      <w:proofErr w:type="spellEnd"/>
      <w:r>
        <w:t xml:space="preserve"> Claus 49 </w:t>
      </w:r>
      <w:proofErr w:type="spellStart"/>
      <w:r>
        <w:t>bte</w:t>
      </w:r>
      <w:proofErr w:type="spellEnd"/>
      <w:r>
        <w:t xml:space="preserve"> 9, Brussels, 1050, Belgium, </w:t>
      </w:r>
      <w:r w:rsidRPr="7CA4661C">
        <w:rPr>
          <w:vertAlign w:val="superscript"/>
        </w:rPr>
        <w:t>2</w:t>
      </w:r>
      <w:r w:rsidRPr="7CA4661C">
        <w:rPr>
          <w:lang w:val="en-US"/>
        </w:rPr>
        <w:t>Department of Applied Physics and Applied Mathematics, Columbia University, New York, NY 10027, USA, 3</w:t>
      </w:r>
      <w:r>
        <w:t xml:space="preserve">SIMAP Laboratory, CNRS-Grenoble INP, BP 46 101 rue de la Physique, Saint Martin </w:t>
      </w:r>
      <w:proofErr w:type="spellStart"/>
      <w:r>
        <w:t>d’Hères</w:t>
      </w:r>
      <w:proofErr w:type="spellEnd"/>
      <w:r>
        <w:t xml:space="preserve"> 38402, France,</w:t>
      </w:r>
    </w:p>
    <w:p w14:paraId="5095C0D0" w14:textId="3C3E564B" w:rsidR="00BB5CF9" w:rsidRPr="00160BD1" w:rsidRDefault="00160BD1" w:rsidP="00160BD1">
      <w:pPr>
        <w:jc w:val="center"/>
        <w:rPr>
          <w:i/>
          <w:iCs/>
        </w:rPr>
      </w:pPr>
      <w:r>
        <w:rPr>
          <w:i/>
          <w:iCs/>
        </w:rPr>
        <w:t>partha@nanomegas.com</w:t>
      </w:r>
      <w:r>
        <w:br/>
      </w:r>
    </w:p>
    <w:p w14:paraId="640883A2" w14:textId="77777777" w:rsidR="0028610A" w:rsidRPr="0028610A" w:rsidRDefault="0028610A" w:rsidP="0028610A">
      <w:pPr>
        <w:rPr>
          <w:lang w:val="en-US"/>
        </w:rPr>
      </w:pPr>
      <w:r w:rsidRPr="0028610A">
        <w:rPr>
          <w:lang w:val="en-US"/>
        </w:rPr>
        <w:t>Understanding material properties requires insight into atomic structure. While traditional diffraction methods rely on sharp Bragg peaks, they fail for nanocrystalline and amorphous materials due to the absence of long-range order. In such cases, Pair Distribution Function (PDF) analysis—via X-rays (</w:t>
      </w:r>
      <w:proofErr w:type="spellStart"/>
      <w:r w:rsidRPr="0028610A">
        <w:rPr>
          <w:lang w:val="en-US"/>
        </w:rPr>
        <w:t>xPDF</w:t>
      </w:r>
      <w:proofErr w:type="spellEnd"/>
      <w:r w:rsidRPr="0028610A">
        <w:rPr>
          <w:lang w:val="en-US"/>
        </w:rPr>
        <w:t>), neutrons (</w:t>
      </w:r>
      <w:proofErr w:type="spellStart"/>
      <w:r w:rsidRPr="0028610A">
        <w:rPr>
          <w:lang w:val="en-US"/>
        </w:rPr>
        <w:t>nPDF</w:t>
      </w:r>
      <w:proofErr w:type="spellEnd"/>
      <w:r w:rsidRPr="0028610A">
        <w:rPr>
          <w:lang w:val="en-US"/>
        </w:rPr>
        <w:t>), or electrons (ePDF)—offers critical local structural information.</w:t>
      </w:r>
    </w:p>
    <w:p w14:paraId="35AECB2C" w14:textId="707E33A3" w:rsidR="0028610A" w:rsidRPr="0028610A" w:rsidRDefault="0028610A" w:rsidP="0028610A">
      <w:pPr>
        <w:rPr>
          <w:lang w:val="en-US"/>
        </w:rPr>
      </w:pPr>
      <w:r w:rsidRPr="0028610A">
        <w:rPr>
          <w:lang w:val="en-US"/>
        </w:rPr>
        <w:t xml:space="preserve">Electron PDF in a Transmission Electron Microscope (TEM) provides unique advantages over </w:t>
      </w:r>
      <w:proofErr w:type="spellStart"/>
      <w:r w:rsidRPr="0028610A">
        <w:rPr>
          <w:lang w:val="en-US"/>
        </w:rPr>
        <w:t>xPDF</w:t>
      </w:r>
      <w:proofErr w:type="spellEnd"/>
      <w:r w:rsidRPr="0028610A">
        <w:rPr>
          <w:lang w:val="en-US"/>
        </w:rPr>
        <w:t xml:space="preserve">, enabling nanoscale analysis with minimal sample quantity and rapid data acquisition—milliseconds versus hours in </w:t>
      </w:r>
      <w:r w:rsidR="00DF3792">
        <w:rPr>
          <w:lang w:val="en-US"/>
        </w:rPr>
        <w:t xml:space="preserve">laboratory </w:t>
      </w:r>
      <w:r w:rsidRPr="0028610A">
        <w:rPr>
          <w:lang w:val="en-US"/>
        </w:rPr>
        <w:t>X-ray setups [1]. Conventionally, ePDF data is acquired manually using SAED or NBD, recording one pattern at a time.</w:t>
      </w:r>
    </w:p>
    <w:p w14:paraId="0DB5315A" w14:textId="77777777" w:rsidR="0028610A" w:rsidRPr="0028610A" w:rsidRDefault="0028610A" w:rsidP="0028610A">
      <w:pPr>
        <w:rPr>
          <w:lang w:val="en-US"/>
        </w:rPr>
      </w:pPr>
      <w:r w:rsidRPr="0028610A">
        <w:rPr>
          <w:lang w:val="en-US"/>
        </w:rPr>
        <w:t xml:space="preserve">We have developed a user-friendly tool that processes both single-pattern data and datasets from Scanning Precession Electron Diffraction (SPED) or 4D-STEM. In these techniques, a focused electron probe (1–10 nm) scans the sample with fine step sizes (1–3 nm), achieving spatial resolutions down to ~1 nm depending on the system. </w:t>
      </w:r>
      <w:proofErr w:type="spellStart"/>
      <w:r w:rsidRPr="0028610A">
        <w:rPr>
          <w:lang w:val="en-US"/>
        </w:rPr>
        <w:t>ePDFs</w:t>
      </w:r>
      <w:proofErr w:type="spellEnd"/>
      <w:r w:rsidRPr="0028610A">
        <w:rPr>
          <w:lang w:val="en-US"/>
        </w:rPr>
        <w:t xml:space="preserve"> are automatically calculated at each scan point, and the software generates correlation maps and analyzes peak positions, widths, and intensities across the scanned area—enabling detection of local structural changes [2–4].</w:t>
      </w:r>
    </w:p>
    <w:p w14:paraId="7B32FF6A" w14:textId="60317DC6" w:rsidR="0028610A" w:rsidRPr="0028610A" w:rsidRDefault="0028610A" w:rsidP="0028610A">
      <w:pPr>
        <w:rPr>
          <w:lang w:val="en-US"/>
        </w:rPr>
      </w:pPr>
      <w:r w:rsidRPr="0028610A">
        <w:rPr>
          <w:lang w:val="en-US"/>
        </w:rPr>
        <w:t xml:space="preserve">This method </w:t>
      </w:r>
      <w:r w:rsidR="006A1BC1" w:rsidRPr="0028610A">
        <w:rPr>
          <w:lang w:val="en-US"/>
        </w:rPr>
        <w:t>can be</w:t>
      </w:r>
      <w:r w:rsidR="006A1BC1">
        <w:rPr>
          <w:lang w:val="en-US"/>
        </w:rPr>
        <w:t xml:space="preserve"> applied </w:t>
      </w:r>
      <w:r w:rsidR="006A1BC1" w:rsidRPr="0028610A">
        <w:rPr>
          <w:lang w:val="en-US"/>
        </w:rPr>
        <w:t>to</w:t>
      </w:r>
      <w:r w:rsidRPr="0028610A">
        <w:rPr>
          <w:lang w:val="en-US"/>
        </w:rPr>
        <w:t xml:space="preserve"> </w:t>
      </w:r>
      <w:r w:rsidR="006A1BC1">
        <w:rPr>
          <w:lang w:val="en-US"/>
        </w:rPr>
        <w:t xml:space="preserve">study </w:t>
      </w:r>
      <w:r w:rsidRPr="0028610A">
        <w:rPr>
          <w:lang w:val="en-US"/>
        </w:rPr>
        <w:t xml:space="preserve">semiconductors, glasses, catalysts, amorphous dispersions, and polymers. In a recent study, ePDF mapping revealed two amorphous layers in a semiconductor: a </w:t>
      </w:r>
      <w:proofErr w:type="spellStart"/>
      <w:r w:rsidRPr="0028610A">
        <w:rPr>
          <w:lang w:val="en-US"/>
        </w:rPr>
        <w:t>Si₃N</w:t>
      </w:r>
      <w:proofErr w:type="spellEnd"/>
      <w:r w:rsidRPr="0028610A">
        <w:rPr>
          <w:lang w:val="en-US"/>
        </w:rPr>
        <w:t xml:space="preserve">₄ layer (yellow pixels, Fig. 1) with a first peak at 1.65 Å, and a </w:t>
      </w:r>
      <w:proofErr w:type="spellStart"/>
      <w:r w:rsidRPr="0028610A">
        <w:rPr>
          <w:lang w:val="en-US"/>
        </w:rPr>
        <w:t>SiO</w:t>
      </w:r>
      <w:proofErr w:type="spellEnd"/>
      <w:r w:rsidRPr="0028610A">
        <w:rPr>
          <w:lang w:val="en-US"/>
        </w:rPr>
        <w:t>₂ layer (green pixels</w:t>
      </w:r>
      <w:r w:rsidR="008459D7">
        <w:rPr>
          <w:lang w:val="en-US"/>
        </w:rPr>
        <w:t>, Fig</w:t>
      </w:r>
      <w:r w:rsidR="00141485">
        <w:rPr>
          <w:lang w:val="en-US"/>
        </w:rPr>
        <w:t>.</w:t>
      </w:r>
      <w:r w:rsidR="008459D7">
        <w:rPr>
          <w:lang w:val="en-US"/>
        </w:rPr>
        <w:t xml:space="preserve"> 1</w:t>
      </w:r>
      <w:r w:rsidRPr="0028610A">
        <w:rPr>
          <w:lang w:val="en-US"/>
        </w:rPr>
        <w:t>) with a slightly shorter</w:t>
      </w:r>
      <w:r w:rsidR="006A1BC1">
        <w:rPr>
          <w:lang w:val="en-US"/>
        </w:rPr>
        <w:t xml:space="preserve">-than-expected first </w:t>
      </w:r>
      <w:r w:rsidRPr="0028610A">
        <w:rPr>
          <w:lang w:val="en-US"/>
        </w:rPr>
        <w:t>peak at 1.56 Å</w:t>
      </w:r>
      <w:r w:rsidR="006A1BC1">
        <w:rPr>
          <w:lang w:val="en-US"/>
        </w:rPr>
        <w:t xml:space="preserve"> -</w:t>
      </w:r>
      <w:r w:rsidRPr="0028610A">
        <w:rPr>
          <w:lang w:val="en-US"/>
        </w:rPr>
        <w:t xml:space="preserve"> likely due to carbon incorporation during fabrication.</w:t>
      </w:r>
    </w:p>
    <w:p w14:paraId="6E7D8EC6" w14:textId="00B55151" w:rsidR="0028610A" w:rsidRPr="0028610A" w:rsidRDefault="0028610A" w:rsidP="0028610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43B2D03" wp14:editId="0B3A886B">
            <wp:simplePos x="0" y="0"/>
            <wp:positionH relativeFrom="column">
              <wp:posOffset>1569720</wp:posOffset>
            </wp:positionH>
            <wp:positionV relativeFrom="paragraph">
              <wp:posOffset>10160</wp:posOffset>
            </wp:positionV>
            <wp:extent cx="2190750" cy="1090930"/>
            <wp:effectExtent l="0" t="0" r="0" b="0"/>
            <wp:wrapSquare wrapText="bothSides"/>
            <wp:docPr id="2022745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10A">
        <w:rPr>
          <w:lang w:val="en-US"/>
        </w:rPr>
        <w:t>.</w:t>
      </w:r>
    </w:p>
    <w:p w14:paraId="6D006103" w14:textId="1A3FC1D2" w:rsidR="00DF207A" w:rsidRPr="00160BD1" w:rsidRDefault="00DF207A" w:rsidP="00160BD1"/>
    <w:p w14:paraId="007D09F0" w14:textId="4FA3420A" w:rsidR="00DF207A" w:rsidRPr="00160BD1" w:rsidRDefault="00DF207A" w:rsidP="00160BD1"/>
    <w:p w14:paraId="0E022E16" w14:textId="04685703" w:rsidR="00BB5CF9" w:rsidRDefault="005452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0BDE1" wp14:editId="316EB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048034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rect id="_x0000_tole_rId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75B940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>
                <o:lock v:ext="edit" selection="t" aspectratio="t"/>
              </v:rect>
            </w:pict>
          </mc:Fallback>
        </mc:AlternateContent>
      </w:r>
    </w:p>
    <w:p w14:paraId="514FF40B" w14:textId="77777777" w:rsidR="00A00416" w:rsidRPr="00A00416" w:rsidRDefault="00A00416" w:rsidP="00A00416"/>
    <w:p w14:paraId="1B42B871" w14:textId="4DCC2BF6" w:rsidR="0028610A" w:rsidRDefault="00545280" w:rsidP="0028610A">
      <w:pPr>
        <w:pStyle w:val="Heading6"/>
        <w:rPr>
          <w:lang w:val="en-US"/>
        </w:rPr>
      </w:pPr>
      <w:r>
        <w:rPr>
          <w:b/>
        </w:rPr>
        <w:t>Figure 1</w:t>
      </w:r>
      <w:r>
        <w:t xml:space="preserve">. </w:t>
      </w:r>
      <w:r w:rsidR="00160BD1" w:rsidRPr="00160BD1">
        <w:rPr>
          <w:lang w:val="en-US"/>
        </w:rPr>
        <w:t xml:space="preserve">Left - Color map showing the variation of peak positions (Å) in the scanned area, highlighting layers of </w:t>
      </w:r>
      <w:proofErr w:type="spellStart"/>
      <w:r w:rsidR="00160BD1" w:rsidRPr="00160BD1">
        <w:rPr>
          <w:lang w:val="en-US"/>
        </w:rPr>
        <w:t>Si₃N</w:t>
      </w:r>
      <w:proofErr w:type="spellEnd"/>
      <w:r w:rsidR="00160BD1" w:rsidRPr="00160BD1">
        <w:rPr>
          <w:lang w:val="en-US"/>
        </w:rPr>
        <w:t xml:space="preserve">₄ and </w:t>
      </w:r>
      <w:proofErr w:type="spellStart"/>
      <w:r w:rsidR="00160BD1" w:rsidRPr="00160BD1">
        <w:rPr>
          <w:lang w:val="en-US"/>
        </w:rPr>
        <w:t>SiO</w:t>
      </w:r>
      <w:proofErr w:type="spellEnd"/>
      <w:r w:rsidR="00160BD1" w:rsidRPr="00160BD1">
        <w:rPr>
          <w:lang w:val="en-US"/>
        </w:rPr>
        <w:t xml:space="preserve">₂ Right: Representative ePDF (blue curve) from these layers, with vertical green lines indicating the first two peak positions and their numerical values—1.56 and 2.56 Å for the </w:t>
      </w:r>
      <w:proofErr w:type="spellStart"/>
      <w:r w:rsidR="00160BD1" w:rsidRPr="00160BD1">
        <w:rPr>
          <w:lang w:val="en-US"/>
        </w:rPr>
        <w:t>SiO</w:t>
      </w:r>
      <w:proofErr w:type="spellEnd"/>
      <w:r w:rsidR="00160BD1" w:rsidRPr="00160BD1">
        <w:rPr>
          <w:lang w:val="en-US"/>
        </w:rPr>
        <w:t xml:space="preserve">₂ layer, and 1.65 and 2.95 Å for the </w:t>
      </w:r>
      <w:proofErr w:type="spellStart"/>
      <w:r w:rsidR="00160BD1" w:rsidRPr="00160BD1">
        <w:rPr>
          <w:lang w:val="en-US"/>
        </w:rPr>
        <w:t>Si₃N</w:t>
      </w:r>
      <w:proofErr w:type="spellEnd"/>
      <w:r w:rsidR="00160BD1" w:rsidRPr="00160BD1">
        <w:rPr>
          <w:lang w:val="en-US"/>
        </w:rPr>
        <w:t xml:space="preserve">₄ layer—in the experimental ePDF. </w:t>
      </w:r>
    </w:p>
    <w:p w14:paraId="45B985A3" w14:textId="77777777" w:rsidR="0028610A" w:rsidRPr="0028610A" w:rsidRDefault="0028610A" w:rsidP="0028610A">
      <w:pPr>
        <w:rPr>
          <w:lang w:val="en-US"/>
        </w:rPr>
      </w:pPr>
    </w:p>
    <w:p w14:paraId="11A06EFB" w14:textId="14E5086A" w:rsidR="0028610A" w:rsidRDefault="0028610A" w:rsidP="0028610A">
      <w:pPr>
        <w:rPr>
          <w:lang w:val="en-US"/>
        </w:rPr>
      </w:pPr>
      <w:r w:rsidRPr="0028610A">
        <w:rPr>
          <w:lang w:val="en-US"/>
        </w:rPr>
        <w:t>In summary, ePDF mapping enables high-resolution, local structural analysis of amorphous materials by extracting pair distribution functions from SPED or 4D-STEM data—revealing nanoscale variations that traditional techniques cannot detect</w:t>
      </w:r>
      <w:r w:rsidR="008651AD">
        <w:rPr>
          <w:lang w:val="en-US"/>
        </w:rPr>
        <w:t>.</w:t>
      </w:r>
    </w:p>
    <w:p w14:paraId="72D86D6B" w14:textId="77777777" w:rsidR="0028610A" w:rsidRPr="0028610A" w:rsidRDefault="0028610A" w:rsidP="0028610A">
      <w:pPr>
        <w:rPr>
          <w:lang w:val="en-US"/>
        </w:rPr>
      </w:pPr>
    </w:p>
    <w:p w14:paraId="2BA9CD13" w14:textId="77777777" w:rsidR="00A00416" w:rsidRPr="00A00416" w:rsidRDefault="00A00416" w:rsidP="006A1BC1">
      <w:pPr>
        <w:pStyle w:val="Heading4"/>
        <w:ind w:left="562" w:hanging="562"/>
        <w:rPr>
          <w:sz w:val="20"/>
          <w:szCs w:val="20"/>
        </w:rPr>
      </w:pPr>
      <w:r w:rsidRPr="00C544EB">
        <w:rPr>
          <w:lang w:val="de-DE"/>
        </w:rPr>
        <w:t xml:space="preserve">[1] </w:t>
      </w:r>
      <w:r w:rsidRPr="00C544EB">
        <w:rPr>
          <w:sz w:val="20"/>
          <w:szCs w:val="20"/>
          <w:lang w:val="de-DE"/>
        </w:rPr>
        <w:t xml:space="preserve">Abeykoon, A. M. M., Malliakas, C. D., Juhás, P., Bozin, E. S., Kanatzidis, M. G. &amp; Billinge, S. J. L. (2012). </w:t>
      </w:r>
      <w:r w:rsidRPr="7CA4661C">
        <w:rPr>
          <w:sz w:val="20"/>
          <w:szCs w:val="20"/>
        </w:rPr>
        <w:t xml:space="preserve">Z. </w:t>
      </w:r>
      <w:proofErr w:type="spellStart"/>
      <w:r w:rsidRPr="7CA4661C">
        <w:rPr>
          <w:sz w:val="20"/>
          <w:szCs w:val="20"/>
        </w:rPr>
        <w:t>Kristallogr</w:t>
      </w:r>
      <w:proofErr w:type="spellEnd"/>
      <w:r w:rsidRPr="7CA4661C">
        <w:rPr>
          <w:sz w:val="20"/>
          <w:szCs w:val="20"/>
        </w:rPr>
        <w:t xml:space="preserve">. </w:t>
      </w:r>
      <w:proofErr w:type="spellStart"/>
      <w:r w:rsidRPr="7CA4661C">
        <w:rPr>
          <w:sz w:val="20"/>
          <w:szCs w:val="20"/>
        </w:rPr>
        <w:t>Cryst</w:t>
      </w:r>
      <w:proofErr w:type="spellEnd"/>
      <w:r w:rsidRPr="7CA4661C">
        <w:rPr>
          <w:sz w:val="20"/>
          <w:szCs w:val="20"/>
        </w:rPr>
        <w:t>. Mater., 227(5), 248–256.</w:t>
      </w:r>
    </w:p>
    <w:p w14:paraId="2C2D1D48" w14:textId="6A9B0E19" w:rsidR="00A00416" w:rsidRDefault="00A00416" w:rsidP="006A1BC1">
      <w:pPr>
        <w:pStyle w:val="Heading4"/>
        <w:ind w:left="562" w:hanging="562"/>
      </w:pPr>
      <w:r>
        <w:t>[2] Egami, T., &amp; Billinge, S. J. L. (2012). Underneath the Bragg peaks: Structural analysis of complex materials: 2</w:t>
      </w:r>
      <w:r w:rsidRPr="7CA4661C">
        <w:rPr>
          <w:vertAlign w:val="superscript"/>
        </w:rPr>
        <w:t>nd</w:t>
      </w:r>
      <w:r>
        <w:t xml:space="preserve"> Edition. </w:t>
      </w:r>
      <w:proofErr w:type="spellStart"/>
      <w:r>
        <w:t>Kiddington</w:t>
      </w:r>
      <w:proofErr w:type="spellEnd"/>
      <w:r>
        <w:t>, Oxford, and Boston: Pergamon Press.</w:t>
      </w:r>
    </w:p>
    <w:p w14:paraId="59C922A7" w14:textId="077952C9" w:rsidR="00A00416" w:rsidRDefault="00A00416" w:rsidP="00A00416">
      <w:pPr>
        <w:pStyle w:val="Heading4"/>
      </w:pPr>
      <w:r>
        <w:t>[</w:t>
      </w:r>
      <w:r w:rsidR="00237D81">
        <w:t>3</w:t>
      </w:r>
      <w:r>
        <w:t xml:space="preserve">] Rauch, E. F. &amp; </w:t>
      </w:r>
      <w:proofErr w:type="spellStart"/>
      <w:r>
        <w:t>Véron</w:t>
      </w:r>
      <w:proofErr w:type="spellEnd"/>
      <w:r>
        <w:t>, M. (2005). Mater. Sci. Forum, 495–497, 1727–1732</w:t>
      </w:r>
    </w:p>
    <w:p w14:paraId="14435629" w14:textId="75A22368" w:rsidR="00A00416" w:rsidRDefault="00A00416" w:rsidP="00A00416">
      <w:pPr>
        <w:pStyle w:val="Heading4"/>
      </w:pPr>
      <w:r>
        <w:t>[</w:t>
      </w:r>
      <w:r w:rsidR="00237D81">
        <w:t>4</w:t>
      </w:r>
      <w:r>
        <w:t xml:space="preserve">] Rakita, Y., Hart, J. L., Das, P. P., </w:t>
      </w:r>
      <w:proofErr w:type="spellStart"/>
      <w:r>
        <w:t>Shahrezaei</w:t>
      </w:r>
      <w:proofErr w:type="spellEnd"/>
      <w:r>
        <w:t xml:space="preserve">, S., Foley, D. L., </w:t>
      </w:r>
      <w:proofErr w:type="spellStart"/>
      <w:r>
        <w:t>Mathaudhu</w:t>
      </w:r>
      <w:proofErr w:type="spellEnd"/>
      <w:r>
        <w:t xml:space="preserve">, S. N., Nicolopoulos, S., Taheri, M. L. &amp; Billinge, S. J. L. (2023). Acta Mater., 242, 118426. </w:t>
      </w:r>
    </w:p>
    <w:p w14:paraId="6D9AAD8F" w14:textId="77777777" w:rsidR="00587446" w:rsidRPr="00587446" w:rsidRDefault="00587446" w:rsidP="00587446">
      <w:pPr>
        <w:rPr>
          <w:lang w:eastAsia="cs-CZ"/>
        </w:rPr>
      </w:pPr>
    </w:p>
    <w:p w14:paraId="136D9E5B" w14:textId="79A2A1C1" w:rsidR="00BB5CF9" w:rsidRPr="006246A1" w:rsidRDefault="006246A1" w:rsidP="7CA4661C">
      <w:pPr>
        <w:pStyle w:val="Acknowledgement"/>
        <w:rPr>
          <w:highlight w:val="yellow"/>
          <w:lang w:val="en-US" w:eastAsia="cs-CZ"/>
        </w:rPr>
      </w:pPr>
      <w:r w:rsidRPr="00FA61F3">
        <w:rPr>
          <w:lang w:val="en-US" w:eastAsia="cs-CZ"/>
        </w:rPr>
        <w:t xml:space="preserve">Work in the S. J. L. B. Group was supported by U.S. Department of Energy, Office of Science, Office of Basic Energy Sciences (DOE-BES) under contract No. DE-SC0024141. </w:t>
      </w:r>
    </w:p>
    <w:sectPr w:rsidR="00BB5CF9" w:rsidRPr="006246A1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51AD" w14:textId="77777777" w:rsidR="0096618A" w:rsidRDefault="0096618A">
      <w:pPr>
        <w:spacing w:after="0"/>
      </w:pPr>
      <w:r>
        <w:separator/>
      </w:r>
    </w:p>
  </w:endnote>
  <w:endnote w:type="continuationSeparator" w:id="0">
    <w:p w14:paraId="14ECE402" w14:textId="77777777" w:rsidR="0096618A" w:rsidRDefault="0096618A">
      <w:pPr>
        <w:spacing w:after="0"/>
      </w:pPr>
      <w:r>
        <w:continuationSeparator/>
      </w:r>
    </w:p>
  </w:endnote>
  <w:endnote w:type="continuationNotice" w:id="1">
    <w:p w14:paraId="4EAA17D3" w14:textId="77777777" w:rsidR="0096618A" w:rsidRDefault="009661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E752" w14:textId="77777777" w:rsidR="00BB5CF9" w:rsidRDefault="0054528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B0EFF1E" w14:textId="77777777" w:rsidR="00BB5CF9" w:rsidRDefault="00BB5CF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33F4" w14:textId="77777777" w:rsidR="0096618A" w:rsidRDefault="0096618A">
      <w:pPr>
        <w:spacing w:after="0"/>
      </w:pPr>
      <w:r>
        <w:separator/>
      </w:r>
    </w:p>
  </w:footnote>
  <w:footnote w:type="continuationSeparator" w:id="0">
    <w:p w14:paraId="5C96F6DA" w14:textId="77777777" w:rsidR="0096618A" w:rsidRDefault="0096618A">
      <w:pPr>
        <w:spacing w:after="0"/>
      </w:pPr>
      <w:r>
        <w:continuationSeparator/>
      </w:r>
    </w:p>
  </w:footnote>
  <w:footnote w:type="continuationNotice" w:id="1">
    <w:p w14:paraId="6E2F8E48" w14:textId="77777777" w:rsidR="0096618A" w:rsidRDefault="009661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1BDE" w14:textId="77777777" w:rsidR="00BB5CF9" w:rsidRDefault="0054528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9"/>
    <w:rsid w:val="00006B25"/>
    <w:rsid w:val="00027E8E"/>
    <w:rsid w:val="00052679"/>
    <w:rsid w:val="000743F9"/>
    <w:rsid w:val="00082202"/>
    <w:rsid w:val="00106B14"/>
    <w:rsid w:val="00141485"/>
    <w:rsid w:val="00160BD1"/>
    <w:rsid w:val="00192BF8"/>
    <w:rsid w:val="001A42A0"/>
    <w:rsid w:val="001A6EFA"/>
    <w:rsid w:val="001C040C"/>
    <w:rsid w:val="001D05F4"/>
    <w:rsid w:val="0021794E"/>
    <w:rsid w:val="00237D81"/>
    <w:rsid w:val="00264FB4"/>
    <w:rsid w:val="0028610A"/>
    <w:rsid w:val="00291B70"/>
    <w:rsid w:val="002D4D47"/>
    <w:rsid w:val="003A415B"/>
    <w:rsid w:val="003C4E6E"/>
    <w:rsid w:val="00412A10"/>
    <w:rsid w:val="0045337E"/>
    <w:rsid w:val="00466CA0"/>
    <w:rsid w:val="004C614A"/>
    <w:rsid w:val="00545280"/>
    <w:rsid w:val="00570042"/>
    <w:rsid w:val="00587446"/>
    <w:rsid w:val="005A0F28"/>
    <w:rsid w:val="005C0F06"/>
    <w:rsid w:val="005C35C7"/>
    <w:rsid w:val="005E0C19"/>
    <w:rsid w:val="006246A1"/>
    <w:rsid w:val="0064022C"/>
    <w:rsid w:val="00671264"/>
    <w:rsid w:val="006A1BC1"/>
    <w:rsid w:val="006F62EC"/>
    <w:rsid w:val="0071667C"/>
    <w:rsid w:val="00724D14"/>
    <w:rsid w:val="00774A12"/>
    <w:rsid w:val="00790EAE"/>
    <w:rsid w:val="007C540C"/>
    <w:rsid w:val="007F0984"/>
    <w:rsid w:val="0081086B"/>
    <w:rsid w:val="00825998"/>
    <w:rsid w:val="008459D7"/>
    <w:rsid w:val="008651AD"/>
    <w:rsid w:val="00903278"/>
    <w:rsid w:val="00957400"/>
    <w:rsid w:val="0096618A"/>
    <w:rsid w:val="00A00416"/>
    <w:rsid w:val="00A21A19"/>
    <w:rsid w:val="00A25689"/>
    <w:rsid w:val="00A26E6A"/>
    <w:rsid w:val="00A723A0"/>
    <w:rsid w:val="00AC6F37"/>
    <w:rsid w:val="00AD6A52"/>
    <w:rsid w:val="00B679B8"/>
    <w:rsid w:val="00BA2045"/>
    <w:rsid w:val="00BB5CF9"/>
    <w:rsid w:val="00BD4500"/>
    <w:rsid w:val="00C129D2"/>
    <w:rsid w:val="00C33564"/>
    <w:rsid w:val="00C544EB"/>
    <w:rsid w:val="00D206AD"/>
    <w:rsid w:val="00D7333F"/>
    <w:rsid w:val="00DF207A"/>
    <w:rsid w:val="00DF3792"/>
    <w:rsid w:val="00E26375"/>
    <w:rsid w:val="00E75CD4"/>
    <w:rsid w:val="00EA12FB"/>
    <w:rsid w:val="00EE77DE"/>
    <w:rsid w:val="00F10CC7"/>
    <w:rsid w:val="00F53227"/>
    <w:rsid w:val="00F93641"/>
    <w:rsid w:val="00FA61F3"/>
    <w:rsid w:val="00FC163A"/>
    <w:rsid w:val="0ACA2765"/>
    <w:rsid w:val="113390A6"/>
    <w:rsid w:val="7CA4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E1C1"/>
  <w15:docId w15:val="{BAB1578E-21D4-4CCF-A82B-18516E9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40C"/>
    <w:rPr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3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564"/>
  </w:style>
  <w:style w:type="character" w:customStyle="1" w:styleId="CommentTextChar">
    <w:name w:val="Comment Text Char"/>
    <w:basedOn w:val="DefaultParagraphFont"/>
    <w:link w:val="CommentText"/>
    <w:uiPriority w:val="99"/>
    <w:rsid w:val="00C33564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564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Partha Pratim Das</cp:lastModifiedBy>
  <cp:revision>38</cp:revision>
  <dcterms:created xsi:type="dcterms:W3CDTF">2025-04-29T18:13:00Z</dcterms:created>
  <dcterms:modified xsi:type="dcterms:W3CDTF">2025-04-30T14:30:00Z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