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9100" w14:textId="77777777" w:rsidR="00621733" w:rsidRPr="00FE7F09" w:rsidRDefault="00621733" w:rsidP="00621733">
      <w:pPr>
        <w:pStyle w:val="Heading1"/>
      </w:pPr>
      <w:r>
        <w:t>Local structure and dynamics in MPt(CN)</w:t>
      </w:r>
      <w:r>
        <w:rPr>
          <w:vertAlign w:val="subscript"/>
        </w:rPr>
        <w:t>6</w:t>
      </w:r>
      <w:r>
        <w:t xml:space="preserve"> Prussian blue analogues</w:t>
      </w:r>
    </w:p>
    <w:p w14:paraId="6EB0A542" w14:textId="77777777" w:rsidR="00621733" w:rsidRPr="00FE7F09" w:rsidRDefault="00621733" w:rsidP="00621733">
      <w:pPr>
        <w:pStyle w:val="Heading2"/>
      </w:pPr>
      <w:r>
        <w:t>E. A. Harbourne</w:t>
      </w:r>
      <w:r>
        <w:rPr>
          <w:vertAlign w:val="superscript"/>
        </w:rPr>
        <w:t>1</w:t>
      </w:r>
      <w:r>
        <w:t>, H. Barker</w:t>
      </w:r>
      <w:r>
        <w:rPr>
          <w:vertAlign w:val="superscript"/>
        </w:rPr>
        <w:t>1</w:t>
      </w:r>
      <w:r>
        <w:t>, Q. Guéroult</w:t>
      </w:r>
      <w:r>
        <w:rPr>
          <w:vertAlign w:val="superscript"/>
        </w:rPr>
        <w:t>1</w:t>
      </w:r>
      <w:r>
        <w:t>, J. Cattermull</w:t>
      </w:r>
      <w:r>
        <w:rPr>
          <w:vertAlign w:val="superscript"/>
        </w:rPr>
        <w:t>1</w:t>
      </w:r>
      <w:r>
        <w:t>, L. A. V. Nagle-Cocco</w:t>
      </w:r>
      <w:r>
        <w:rPr>
          <w:vertAlign w:val="superscript"/>
        </w:rPr>
        <w:t>2</w:t>
      </w:r>
      <w:r>
        <w:t>, N. Roth</w:t>
      </w:r>
      <w:r>
        <w:rPr>
          <w:vertAlign w:val="superscript"/>
        </w:rPr>
        <w:t>1</w:t>
      </w:r>
      <w:r>
        <w:t>, J. S. O. Evans</w:t>
      </w:r>
      <w:r>
        <w:rPr>
          <w:vertAlign w:val="superscript"/>
        </w:rPr>
        <w:t>3</w:t>
      </w:r>
      <w:r>
        <w:t>, D. A. Keen</w:t>
      </w:r>
      <w:r>
        <w:rPr>
          <w:vertAlign w:val="superscript"/>
        </w:rPr>
        <w:t>4</w:t>
      </w:r>
      <w:r>
        <w:t>, A. L. Goodwin</w:t>
      </w:r>
      <w:r>
        <w:rPr>
          <w:vertAlign w:val="superscript"/>
        </w:rPr>
        <w:t>1</w:t>
      </w:r>
    </w:p>
    <w:p w14:paraId="09C0C346" w14:textId="77777777" w:rsidR="00621733" w:rsidRPr="00FE7F09" w:rsidRDefault="00621733" w:rsidP="00621733">
      <w:pPr>
        <w:pStyle w:val="Heading3"/>
      </w:pPr>
      <w:r>
        <w:rPr>
          <w:vertAlign w:val="superscript"/>
        </w:rPr>
        <w:t>1</w:t>
      </w:r>
      <w:r>
        <w:t xml:space="preserve">Department of Chemistry, University of Oxford, Oxford OX1 3QR, U.K., </w:t>
      </w:r>
      <w:r>
        <w:rPr>
          <w:vertAlign w:val="superscript"/>
        </w:rPr>
        <w:t>2</w:t>
      </w:r>
      <w:r>
        <w:t xml:space="preserve">Cavendish Laboratory, University of Cambridge, Cambridge CB3 0HE, U.K., </w:t>
      </w:r>
      <w:r>
        <w:rPr>
          <w:vertAlign w:val="superscript"/>
        </w:rPr>
        <w:t>3</w:t>
      </w:r>
      <w:r>
        <w:t xml:space="preserve">Department of Chemistry, Durham University, Durham DH1 3LE, U.K., </w:t>
      </w:r>
      <w:r>
        <w:rPr>
          <w:vertAlign w:val="superscript"/>
        </w:rPr>
        <w:t>4</w:t>
      </w:r>
      <w:r>
        <w:t>ISIS Facility, Rutherford Appleton Laboratory, Didcot OX11 0QX, U.K.</w:t>
      </w:r>
    </w:p>
    <w:p w14:paraId="5FA5434E" w14:textId="4310164B" w:rsidR="00B55773" w:rsidRDefault="00621733" w:rsidP="00621733">
      <w:pPr>
        <w:pStyle w:val="Heading3"/>
        <w:rPr>
          <w:sz w:val="18"/>
          <w:szCs w:val="18"/>
        </w:rPr>
      </w:pPr>
      <w:r>
        <w:t>elodie.harbourne@chem.ox.ac.uk</w:t>
      </w:r>
      <w:r w:rsidR="00000000">
        <w:rPr>
          <w:lang w:eastAsia="de-DE"/>
        </w:rPr>
        <w:br/>
      </w:r>
    </w:p>
    <w:p w14:paraId="26EA7DEE" w14:textId="4AE4E020" w:rsidR="00F97D0E" w:rsidRDefault="00F97D0E">
      <w:r>
        <w:t>Negative thermal expansion (NTE)</w:t>
      </w:r>
      <w:r w:rsidR="009B001E">
        <w:rPr>
          <w:rFonts w:hint="cs"/>
        </w:rPr>
        <w:t>—</w:t>
      </w:r>
      <w:r w:rsidR="009B001E">
        <w:t>the phenomenon of contraction on heating</w:t>
      </w:r>
      <w:r w:rsidR="009B001E">
        <w:rPr>
          <w:rFonts w:hint="cs"/>
        </w:rPr>
        <w:t>—</w:t>
      </w:r>
      <w:r>
        <w:t>has been identified in several cyanide-based molecular framework material</w:t>
      </w:r>
      <w:r w:rsidR="001A2721">
        <w:t>s</w:t>
      </w:r>
      <w:r>
        <w:t>, including in the Prussian blue analogues (PBAs) [1-4]. The parent structure of PBAs is a cubic net assembled from transition-metal ions at the octahedral nodes, connected by linear M</w:t>
      </w:r>
      <w:r>
        <w:rPr>
          <w:rFonts w:hint="cs"/>
        </w:rPr>
        <w:t>–</w:t>
      </w:r>
      <w:r>
        <w:t>CN</w:t>
      </w:r>
      <w:r>
        <w:rPr>
          <w:rFonts w:hint="cs"/>
        </w:rPr>
        <w:t>–</w:t>
      </w:r>
      <w:r>
        <w:t xml:space="preserve">M linkages. The NTE mechanism in PBAs is usually described in terms of the thermal population of transverse vibrations of </w:t>
      </w:r>
      <w:r>
        <w:t>M</w:t>
      </w:r>
      <w:r>
        <w:rPr>
          <w:rFonts w:hint="cs"/>
        </w:rPr>
        <w:t>–</w:t>
      </w:r>
      <w:r>
        <w:t>CN</w:t>
      </w:r>
      <w:r>
        <w:rPr>
          <w:rFonts w:hint="cs"/>
        </w:rPr>
        <w:t>–</w:t>
      </w:r>
      <w:r>
        <w:t>M</w:t>
      </w:r>
      <w:r>
        <w:t xml:space="preserve"> linkers coupled to rotations of the transition-metal coordination octahedra [1-3].</w:t>
      </w:r>
      <w:r w:rsidR="001A2721">
        <w:t xml:space="preserve"> While many PBAs can contain a variety of different distortions and defect structures</w:t>
      </w:r>
      <w:r w:rsidR="00B221E7">
        <w:t xml:space="preserve"> [5]</w:t>
      </w:r>
      <w:r w:rsidR="001A2721">
        <w:t>,</w:t>
      </w:r>
      <w:r>
        <w:t xml:space="preserve"> </w:t>
      </w:r>
      <w:r w:rsidR="001A2721">
        <w:t>t</w:t>
      </w:r>
      <w:r>
        <w:t>he transition-metal hexacyanoplatinates, M</w:t>
      </w:r>
      <w:r>
        <w:rPr>
          <w:vertAlign w:val="superscript"/>
        </w:rPr>
        <w:t>II</w:t>
      </w:r>
      <w:r>
        <w:t>Pt</w:t>
      </w:r>
      <w:r>
        <w:rPr>
          <w:vertAlign w:val="superscript"/>
        </w:rPr>
        <w:t>IV</w:t>
      </w:r>
      <w:r>
        <w:t>(CN)</w:t>
      </w:r>
      <w:r>
        <w:rPr>
          <w:vertAlign w:val="subscript"/>
        </w:rPr>
        <w:t>6</w:t>
      </w:r>
      <w:r>
        <w:t>, are effectively defect-free</w:t>
      </w:r>
      <w:r w:rsidR="00B221E7">
        <w:t xml:space="preserve"> [3]</w:t>
      </w:r>
      <w:r w:rsidR="001A2721">
        <w:t>. Consequently,</w:t>
      </w:r>
      <w:r>
        <w:t xml:space="preserve"> their local structures can be characterised by thermal (phonon-driven) displacements away from their average structure. Hence, in the hexacyanoplatinates, a direct relationship between local structure and dynamics can be expected.</w:t>
      </w:r>
    </w:p>
    <w:p w14:paraId="58EC3F38" w14:textId="6A57A15F" w:rsidR="00637099" w:rsidRDefault="00637099">
      <w:r>
        <w:t>We use a combination of X-ray pair distribution function (PDF) measurements, lattice dynamical calculations, and ab initio density functional theory (DFT) calculations to study the local structure and dynamics in various MPt(CN)</w:t>
      </w:r>
      <w:r>
        <w:rPr>
          <w:vertAlign w:val="subscript"/>
        </w:rPr>
        <w:t>6</w:t>
      </w:r>
      <w:r>
        <w:t xml:space="preserve"> Prussian blue analogues [</w:t>
      </w:r>
      <w:r w:rsidR="00B221E7">
        <w:t>6</w:t>
      </w:r>
      <w:r>
        <w:t>]. In order to link directly the local distortions captured by the PDF with the lattice dynamics of this family, we develop and apply a new Monte Carlo-driven, ‘interaction-space’ PDF refinement approach based on the optimisation of harmonic force constants, from which the (experiment-derived) low-energy phonon dispersion relations can be approximated. Calculation of the corresponding Grüneisen parameters allows us to identify correlated tilts of coordination octahedra as the key modes responsible for NTE in these materials.</w:t>
      </w:r>
    </w:p>
    <w:p w14:paraId="0EB1D420" w14:textId="77777777" w:rsidR="006B7598" w:rsidRPr="00637099" w:rsidRDefault="006B7598"/>
    <w:p w14:paraId="678630F5" w14:textId="11568772" w:rsidR="00B55773" w:rsidRDefault="0027162F">
      <w:pPr>
        <w:jc w:val="center"/>
      </w:pPr>
      <w:r>
        <w:pict w14:anchorId="6FAAB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alt="" style="position:absolute;left:0;text-align:left;margin-left:0;margin-top:0;width:50pt;height:50pt;z-index:1;visibility:hidden;mso-wrap-edited:f;mso-width-percent:0;mso-height-percent:0;mso-width-percent:0;mso-height-percent:0">
            <o:lock v:ext="edit" selection="t"/>
          </v:shape>
        </w:pict>
      </w:r>
      <w:r w:rsidR="00000000">
        <w:rPr>
          <w:noProof/>
          <w:color w:val="000000"/>
        </w:rPr>
        <w:pict w14:anchorId="071802DD">
          <v:shape id="Picture 1" o:spid="_x0000_i1025" type="#_x0000_t75" alt="A green and red graph&#10;&#10;AI-generated content may be incorrect." style="width:273.75pt;height:136.9pt;visibility:visible;mso-wrap-style:square">
            <v:imagedata r:id="rId7" o:title="A green and red graph&#10;&#10;AI-generated content may be incorrect"/>
          </v:shape>
        </w:pict>
      </w:r>
    </w:p>
    <w:p w14:paraId="22111F31" w14:textId="5BE985F8" w:rsidR="00B55773" w:rsidRDefault="00000000">
      <w:pPr>
        <w:pStyle w:val="Heading6"/>
      </w:pPr>
      <w:r>
        <w:rPr>
          <w:b/>
        </w:rPr>
        <w:t>Figure 1</w:t>
      </w:r>
      <w:r>
        <w:t xml:space="preserve">. </w:t>
      </w:r>
      <w:r w:rsidR="006A6135">
        <w:t>A new ‘interaction-space’ PDF refinement approach has been developed, which yields effective harmonic force constants from which the (experiment-derived) low-energy phonon dispersion relations can be approximated</w:t>
      </w:r>
      <w:r>
        <w:t>.</w:t>
      </w:r>
      <w:r w:rsidR="006A6135">
        <w:t xml:space="preserve"> Calculation of the corresponding Grüneisen parameters allows the identification of the key modes responsible for NTE (correlated octahedral tilts).</w:t>
      </w:r>
    </w:p>
    <w:p w14:paraId="05E65BC4" w14:textId="77777777" w:rsidR="00B55773" w:rsidRDefault="00B55773">
      <w:pPr>
        <w:rPr>
          <w:lang w:eastAsia="cs-CZ"/>
        </w:rPr>
      </w:pPr>
    </w:p>
    <w:p w14:paraId="3822EFC2" w14:textId="2D514E6D" w:rsidR="00B55773" w:rsidRDefault="00000000">
      <w:pPr>
        <w:pStyle w:val="Heading4"/>
      </w:pPr>
      <w:r>
        <w:t>[1] Marg</w:t>
      </w:r>
      <w:r w:rsidR="00637099">
        <w:t>adonna</w:t>
      </w:r>
      <w:r>
        <w:t xml:space="preserve">, </w:t>
      </w:r>
      <w:r w:rsidR="00637099">
        <w:t>S</w:t>
      </w:r>
      <w:r>
        <w:t>.,</w:t>
      </w:r>
      <w:r w:rsidR="00637099">
        <w:t xml:space="preserve"> Prassides</w:t>
      </w:r>
      <w:r>
        <w:t xml:space="preserve">, </w:t>
      </w:r>
      <w:r w:rsidR="00637099">
        <w:t>K</w:t>
      </w:r>
      <w:r>
        <w:t>.</w:t>
      </w:r>
      <w:r w:rsidR="003C0B4D">
        <w:t xml:space="preserve"> &amp;</w:t>
      </w:r>
      <w:r>
        <w:t xml:space="preserve"> </w:t>
      </w:r>
      <w:r w:rsidR="00637099">
        <w:t>Fitch</w:t>
      </w:r>
      <w:r>
        <w:t xml:space="preserve">, </w:t>
      </w:r>
      <w:r w:rsidR="00637099">
        <w:t>A</w:t>
      </w:r>
      <w:r>
        <w:t xml:space="preserve">. </w:t>
      </w:r>
      <w:r w:rsidR="00637099">
        <w:t>N.</w:t>
      </w:r>
      <w:r>
        <w:t xml:space="preserve"> (</w:t>
      </w:r>
      <w:r w:rsidR="00637099">
        <w:t>2004</w:t>
      </w:r>
      <w:r>
        <w:t xml:space="preserve">). </w:t>
      </w:r>
      <w:r w:rsidR="00637099">
        <w:rPr>
          <w:i/>
        </w:rPr>
        <w:t>J. Am. Chem. Soc</w:t>
      </w:r>
      <w:r>
        <w:rPr>
          <w:i/>
        </w:rPr>
        <w:t>.</w:t>
      </w:r>
      <w:r w:rsidR="003C0B4D">
        <w:rPr>
          <w:i/>
        </w:rPr>
        <w:t>,</w:t>
      </w:r>
      <w:r>
        <w:t xml:space="preserve"> </w:t>
      </w:r>
      <w:r w:rsidR="00637099">
        <w:rPr>
          <w:b/>
        </w:rPr>
        <w:t>126</w:t>
      </w:r>
      <w:r>
        <w:t xml:space="preserve">, </w:t>
      </w:r>
      <w:r w:rsidR="00637099">
        <w:t>15390</w:t>
      </w:r>
      <w:r>
        <w:t>.</w:t>
      </w:r>
    </w:p>
    <w:p w14:paraId="2F54BD98" w14:textId="0210D857" w:rsidR="00B55773" w:rsidRDefault="00000000">
      <w:pPr>
        <w:pStyle w:val="Heading4"/>
      </w:pPr>
      <w:r>
        <w:t xml:space="preserve">[2] </w:t>
      </w:r>
      <w:r w:rsidR="00637099">
        <w:t>Goodwin</w:t>
      </w:r>
      <w:r>
        <w:t xml:space="preserve">, </w:t>
      </w:r>
      <w:r w:rsidR="00637099">
        <w:t>A</w:t>
      </w:r>
      <w:r>
        <w:t xml:space="preserve">. </w:t>
      </w:r>
      <w:r w:rsidR="00637099">
        <w:t>L</w:t>
      </w:r>
      <w:r>
        <w:t xml:space="preserve">., </w:t>
      </w:r>
      <w:r w:rsidR="00637099">
        <w:t>Chapman</w:t>
      </w:r>
      <w:r>
        <w:t xml:space="preserve">, </w:t>
      </w:r>
      <w:r w:rsidR="00637099">
        <w:t>K</w:t>
      </w:r>
      <w:r>
        <w:t xml:space="preserve">. </w:t>
      </w:r>
      <w:r w:rsidR="00637099">
        <w:t>W</w:t>
      </w:r>
      <w:r>
        <w:t>.</w:t>
      </w:r>
      <w:r w:rsidR="003C0B4D">
        <w:t xml:space="preserve"> &amp;</w:t>
      </w:r>
      <w:r>
        <w:t xml:space="preserve"> </w:t>
      </w:r>
      <w:r w:rsidR="00637099">
        <w:t>Kepert</w:t>
      </w:r>
      <w:r>
        <w:t xml:space="preserve">, </w:t>
      </w:r>
      <w:r w:rsidR="00637099">
        <w:t>C</w:t>
      </w:r>
      <w:r>
        <w:t xml:space="preserve">. </w:t>
      </w:r>
      <w:r w:rsidR="00637099">
        <w:t>J</w:t>
      </w:r>
      <w:r>
        <w:t>.</w:t>
      </w:r>
      <w:r w:rsidR="003C0B4D">
        <w:t xml:space="preserve"> </w:t>
      </w:r>
      <w:r>
        <w:t>(200</w:t>
      </w:r>
      <w:r w:rsidR="003C0B4D">
        <w:t>5</w:t>
      </w:r>
      <w:r>
        <w:t xml:space="preserve">). </w:t>
      </w:r>
      <w:r>
        <w:rPr>
          <w:i/>
        </w:rPr>
        <w:t>J. Am. Chem. Soc.</w:t>
      </w:r>
      <w:r w:rsidR="003C0B4D">
        <w:rPr>
          <w:iCs/>
        </w:rPr>
        <w:t>,</w:t>
      </w:r>
      <w:r>
        <w:t xml:space="preserve"> </w:t>
      </w:r>
      <w:r>
        <w:rPr>
          <w:b/>
        </w:rPr>
        <w:t>12</w:t>
      </w:r>
      <w:r w:rsidR="003C0B4D">
        <w:rPr>
          <w:b/>
        </w:rPr>
        <w:t>7</w:t>
      </w:r>
      <w:r>
        <w:t>, 1</w:t>
      </w:r>
      <w:r w:rsidR="003C0B4D">
        <w:t>7980</w:t>
      </w:r>
      <w:r>
        <w:t>.</w:t>
      </w:r>
    </w:p>
    <w:p w14:paraId="60FA3B12" w14:textId="3599827A" w:rsidR="00B55773" w:rsidRPr="003C0B4D" w:rsidRDefault="00000000">
      <w:pPr>
        <w:pStyle w:val="Heading4"/>
      </w:pPr>
      <w:r>
        <w:t xml:space="preserve">[3] </w:t>
      </w:r>
      <w:r w:rsidR="003C0B4D">
        <w:t>Chapman,</w:t>
      </w:r>
      <w:r>
        <w:t xml:space="preserve"> </w:t>
      </w:r>
      <w:r w:rsidR="003C0B4D">
        <w:t>K</w:t>
      </w:r>
      <w:r>
        <w:t xml:space="preserve">. </w:t>
      </w:r>
      <w:r w:rsidR="003C0B4D">
        <w:t>W</w:t>
      </w:r>
      <w:r>
        <w:t>.</w:t>
      </w:r>
      <w:r w:rsidR="003C0B4D">
        <w:t>, Chupas, P. J. &amp; Kepert, C. J.</w:t>
      </w:r>
      <w:r>
        <w:t xml:space="preserve"> (</w:t>
      </w:r>
      <w:r w:rsidR="003C0B4D">
        <w:t>2006</w:t>
      </w:r>
      <w:r>
        <w:t xml:space="preserve">). </w:t>
      </w:r>
      <w:r w:rsidR="003C0B4D">
        <w:rPr>
          <w:i/>
        </w:rPr>
        <w:t>J. Am. Chem. Soc.</w:t>
      </w:r>
      <w:r w:rsidR="003C0B4D">
        <w:t xml:space="preserve">, </w:t>
      </w:r>
      <w:r w:rsidR="003C0B4D">
        <w:rPr>
          <w:b/>
          <w:bCs w:val="0"/>
        </w:rPr>
        <w:t>128</w:t>
      </w:r>
      <w:r w:rsidR="003C0B4D">
        <w:t>, 7009.</w:t>
      </w:r>
    </w:p>
    <w:p w14:paraId="7AB90CFC" w14:textId="09CDC209" w:rsidR="00B55773" w:rsidRDefault="00000000">
      <w:pPr>
        <w:pStyle w:val="Heading4"/>
      </w:pPr>
      <w:r>
        <w:t xml:space="preserve">[4] </w:t>
      </w:r>
      <w:r w:rsidR="003C0B4D">
        <w:t>Adak</w:t>
      </w:r>
      <w:r>
        <w:t xml:space="preserve">, </w:t>
      </w:r>
      <w:r w:rsidR="003C0B4D">
        <w:t>S</w:t>
      </w:r>
      <w:r>
        <w:t>.</w:t>
      </w:r>
      <w:r w:rsidR="003C0B4D">
        <w:t>, Daemen, L. L., Hartl, M., Williams, D., Summerhill, J. &amp; Nakotte, H.</w:t>
      </w:r>
      <w:r>
        <w:t xml:space="preserve"> (20</w:t>
      </w:r>
      <w:r w:rsidR="003C0B4D">
        <w:t>11</w:t>
      </w:r>
      <w:r>
        <w:t xml:space="preserve">). </w:t>
      </w:r>
      <w:r w:rsidR="003C0B4D">
        <w:rPr>
          <w:i/>
        </w:rPr>
        <w:t>J. Solid State Chem.</w:t>
      </w:r>
      <w:r>
        <w:t xml:space="preserve">, </w:t>
      </w:r>
      <w:r w:rsidR="003C0B4D">
        <w:rPr>
          <w:b/>
          <w:bCs w:val="0"/>
        </w:rPr>
        <w:t>184</w:t>
      </w:r>
      <w:r w:rsidR="003C0B4D">
        <w:t>, 2854.</w:t>
      </w:r>
    </w:p>
    <w:p w14:paraId="0BE025F7" w14:textId="722C02AB" w:rsidR="00B221E7" w:rsidRPr="006B7598" w:rsidRDefault="00B221E7" w:rsidP="00B221E7">
      <w:pPr>
        <w:rPr>
          <w:sz w:val="18"/>
          <w:szCs w:val="18"/>
          <w:lang w:eastAsia="cs-CZ"/>
        </w:rPr>
      </w:pPr>
      <w:r w:rsidRPr="006B7598">
        <w:rPr>
          <w:sz w:val="18"/>
          <w:szCs w:val="18"/>
          <w:lang w:eastAsia="cs-CZ"/>
        </w:rPr>
        <w:t xml:space="preserve">[5] Cattermull, J., Pasta, M. &amp; Goodwin, A. L. (2021). </w:t>
      </w:r>
      <w:r w:rsidRPr="006B7598">
        <w:rPr>
          <w:i/>
          <w:iCs/>
          <w:sz w:val="18"/>
          <w:szCs w:val="18"/>
          <w:lang w:eastAsia="cs-CZ"/>
        </w:rPr>
        <w:t>Mater. Horiz.</w:t>
      </w:r>
      <w:r w:rsidRPr="006B7598">
        <w:rPr>
          <w:sz w:val="18"/>
          <w:szCs w:val="18"/>
          <w:lang w:eastAsia="cs-CZ"/>
        </w:rPr>
        <w:t xml:space="preserve">, </w:t>
      </w:r>
      <w:r w:rsidRPr="006B7598">
        <w:rPr>
          <w:b/>
          <w:bCs/>
          <w:sz w:val="18"/>
          <w:szCs w:val="18"/>
          <w:lang w:eastAsia="cs-CZ"/>
        </w:rPr>
        <w:t>8</w:t>
      </w:r>
      <w:r w:rsidRPr="006B7598">
        <w:rPr>
          <w:sz w:val="18"/>
          <w:szCs w:val="18"/>
          <w:lang w:eastAsia="cs-CZ"/>
        </w:rPr>
        <w:t>, 3178.</w:t>
      </w:r>
    </w:p>
    <w:p w14:paraId="79ADC811" w14:textId="4CF3266C" w:rsidR="003C0B4D" w:rsidRPr="003C0B4D" w:rsidRDefault="003C0B4D" w:rsidP="003C0B4D">
      <w:pPr>
        <w:rPr>
          <w:sz w:val="18"/>
          <w:szCs w:val="18"/>
          <w:lang w:eastAsia="cs-CZ"/>
        </w:rPr>
      </w:pPr>
      <w:r w:rsidRPr="003C0B4D">
        <w:rPr>
          <w:sz w:val="18"/>
          <w:szCs w:val="18"/>
          <w:lang w:eastAsia="cs-CZ"/>
        </w:rPr>
        <w:t>[</w:t>
      </w:r>
      <w:r w:rsidR="00B221E7">
        <w:rPr>
          <w:sz w:val="18"/>
          <w:szCs w:val="18"/>
          <w:lang w:eastAsia="cs-CZ"/>
        </w:rPr>
        <w:t>6</w:t>
      </w:r>
      <w:r w:rsidRPr="003C0B4D">
        <w:rPr>
          <w:sz w:val="18"/>
          <w:szCs w:val="18"/>
          <w:lang w:eastAsia="cs-CZ"/>
        </w:rPr>
        <w:t>] Harbourne, E. A., Barker, H., Guéroult, Q., Cattermull, J., Nagle-Cocco, L. A. V., Roth, N., Evans, J. S. O., Keen, D. A. &amp; Goodwin, A. L.</w:t>
      </w:r>
      <w:r>
        <w:rPr>
          <w:sz w:val="18"/>
          <w:szCs w:val="18"/>
          <w:lang w:eastAsia="cs-CZ"/>
        </w:rPr>
        <w:t xml:space="preserve"> (2024). </w:t>
      </w:r>
      <w:r>
        <w:rPr>
          <w:i/>
          <w:iCs/>
          <w:sz w:val="18"/>
          <w:szCs w:val="18"/>
          <w:lang w:eastAsia="cs-CZ"/>
        </w:rPr>
        <w:t>Chem. Mater.</w:t>
      </w:r>
      <w:r>
        <w:rPr>
          <w:sz w:val="18"/>
          <w:szCs w:val="18"/>
          <w:lang w:eastAsia="cs-CZ"/>
        </w:rPr>
        <w:t xml:space="preserve">, </w:t>
      </w:r>
      <w:r>
        <w:rPr>
          <w:b/>
          <w:bCs/>
          <w:sz w:val="18"/>
          <w:szCs w:val="18"/>
          <w:lang w:eastAsia="cs-CZ"/>
        </w:rPr>
        <w:t>36</w:t>
      </w:r>
      <w:r>
        <w:rPr>
          <w:sz w:val="18"/>
          <w:szCs w:val="18"/>
          <w:lang w:eastAsia="cs-CZ"/>
        </w:rPr>
        <w:t>, 5796.</w:t>
      </w:r>
    </w:p>
    <w:p w14:paraId="28340B85" w14:textId="22D8DE63" w:rsidR="00B55773" w:rsidRDefault="00B55773">
      <w:pPr>
        <w:pStyle w:val="Acknowledgement"/>
      </w:pPr>
    </w:p>
    <w:sectPr w:rsidR="00B55773">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9589" w14:textId="77777777" w:rsidR="0027162F" w:rsidRDefault="0027162F">
      <w:pPr>
        <w:spacing w:after="0"/>
      </w:pPr>
      <w:r>
        <w:separator/>
      </w:r>
    </w:p>
  </w:endnote>
  <w:endnote w:type="continuationSeparator" w:id="0">
    <w:p w14:paraId="62C6E275" w14:textId="77777777" w:rsidR="0027162F" w:rsidRDefault="00271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73A3" w14:textId="77777777" w:rsidR="00B55773" w:rsidRDefault="00000000">
    <w:pPr>
      <w:pStyle w:val="Footer"/>
    </w:pPr>
    <w:r>
      <w:t>Acta Cryst. (2025). A81, e1</w:t>
    </w:r>
  </w:p>
  <w:p w14:paraId="0D3E2BE1" w14:textId="77777777" w:rsidR="00B55773" w:rsidRDefault="00B5577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5C2E" w14:textId="77777777" w:rsidR="0027162F" w:rsidRDefault="0027162F">
      <w:pPr>
        <w:spacing w:after="0"/>
      </w:pPr>
      <w:r>
        <w:separator/>
      </w:r>
    </w:p>
  </w:footnote>
  <w:footnote w:type="continuationSeparator" w:id="0">
    <w:p w14:paraId="6EAF0C7C" w14:textId="77777777" w:rsidR="0027162F" w:rsidRDefault="00271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6A93" w14:textId="6B3BB1D2" w:rsidR="00B55773" w:rsidRDefault="00000000">
    <w:pPr>
      <w:tabs>
        <w:tab w:val="center" w:pos="4703"/>
        <w:tab w:val="right" w:pos="9406"/>
      </w:tabs>
    </w:pPr>
    <w:r>
      <w:rPr>
        <w:b/>
        <w:bCs/>
      </w:rPr>
      <w:t>M</w:t>
    </w:r>
    <w:r w:rsidR="00621733">
      <w:rPr>
        <w:b/>
        <w:bCs/>
      </w:rPr>
      <w:t>19</w:t>
    </w:r>
    <w:r>
      <w:tab/>
    </w:r>
    <w:r w:rsidR="00621733">
      <w:rPr>
        <w:b/>
        <w:bCs/>
      </w:rPr>
      <w:t>Quantum mechanical models for disorder, dynamics, and diffuse scattering</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773"/>
    <w:rsid w:val="001A2721"/>
    <w:rsid w:val="0027162F"/>
    <w:rsid w:val="003C0B4D"/>
    <w:rsid w:val="00482B0A"/>
    <w:rsid w:val="00621733"/>
    <w:rsid w:val="00637099"/>
    <w:rsid w:val="006A6135"/>
    <w:rsid w:val="006B7598"/>
    <w:rsid w:val="009B001E"/>
    <w:rsid w:val="009F748E"/>
    <w:rsid w:val="00B221E7"/>
    <w:rsid w:val="00B55773"/>
    <w:rsid w:val="00F10122"/>
    <w:rsid w:val="00F97D0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C08F31"/>
  <w15:docId w15:val="{EAA63072-1674-CD47-B816-A8ADD473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Elodie Harbourne</cp:lastModifiedBy>
  <cp:revision>10</cp:revision>
  <dcterms:created xsi:type="dcterms:W3CDTF">2025-06-19T13:41:00Z</dcterms:created>
  <dcterms:modified xsi:type="dcterms:W3CDTF">2025-06-19T14:54:00Z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