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D62A5" w14:textId="4100E0A9" w:rsidR="005810D6" w:rsidRDefault="005810D6" w:rsidP="00BE01DA">
      <w:pPr>
        <w:pStyle w:val="Title"/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Abstract"/>
      <w:bookmarkEnd w:id="0"/>
      <w:r w:rsidRPr="00BE01DA">
        <w:rPr>
          <w:rFonts w:ascii="Arial" w:hAnsi="Arial" w:cs="Arial"/>
          <w:b/>
          <w:bCs/>
          <w:sz w:val="24"/>
          <w:szCs w:val="24"/>
        </w:rPr>
        <w:t xml:space="preserve">Direct quantitative and </w:t>
      </w:r>
      <w:proofErr w:type="spellStart"/>
      <w:r w:rsidRPr="00BE01DA">
        <w:rPr>
          <w:rFonts w:ascii="Arial" w:hAnsi="Arial" w:cs="Arial"/>
          <w:b/>
          <w:bCs/>
          <w:sz w:val="24"/>
          <w:szCs w:val="24"/>
        </w:rPr>
        <w:t>localisation</w:t>
      </w:r>
      <w:proofErr w:type="spellEnd"/>
      <w:r w:rsidRPr="00BE01DA">
        <w:rPr>
          <w:rFonts w:ascii="Arial" w:hAnsi="Arial" w:cs="Arial"/>
          <w:b/>
          <w:bCs/>
          <w:sz w:val="24"/>
          <w:szCs w:val="24"/>
        </w:rPr>
        <w:t xml:space="preserve"> of Aluminum in individual zeolite crystals by 3D Electron Diffraction</w:t>
      </w:r>
    </w:p>
    <w:p w14:paraId="0A45B8EB" w14:textId="77777777" w:rsidR="00BE01DA" w:rsidRPr="00BE01DA" w:rsidRDefault="00BE01DA" w:rsidP="00BE01DA">
      <w:pPr>
        <w:rPr>
          <w:lang w:val="en-US" w:eastAsia="en-US"/>
        </w:rPr>
      </w:pPr>
    </w:p>
    <w:p w14:paraId="7729611E" w14:textId="00F46A91" w:rsidR="005810D6" w:rsidRPr="00BE01DA" w:rsidRDefault="005810D6" w:rsidP="00BE01DA">
      <w:pPr>
        <w:pStyle w:val="Heading2"/>
      </w:pPr>
      <w:r w:rsidRPr="00BE01DA">
        <w:t>Soheil Mahmoudi¹˒²</w:t>
      </w:r>
      <w:r w:rsidRPr="00BE01DA">
        <w:rPr>
          <w:vertAlign w:val="superscript"/>
        </w:rPr>
        <w:t>†</w:t>
      </w:r>
      <w:r w:rsidRPr="00BE01DA">
        <w:t>, Vladimir Paunović³˒⁴</w:t>
      </w:r>
      <w:r w:rsidRPr="00BE01DA">
        <w:rPr>
          <w:vertAlign w:val="superscript"/>
        </w:rPr>
        <w:t>†</w:t>
      </w:r>
      <w:r w:rsidRPr="00BE01DA">
        <w:t>, Tim Gruene²*, Jeroen A. van Bokhoven³˒⁴*, Bernhard Keppler²</w:t>
      </w:r>
    </w:p>
    <w:p w14:paraId="0F1969B4" w14:textId="2A06EC66" w:rsidR="005810D6" w:rsidRDefault="005810D6" w:rsidP="00BE01DA">
      <w:pPr>
        <w:pStyle w:val="Heading3"/>
      </w:pPr>
      <w:r w:rsidRPr="005810D6">
        <w:t>¹ Vienna Doctoral School in Chemistry (</w:t>
      </w:r>
      <w:proofErr w:type="spellStart"/>
      <w:r w:rsidRPr="005810D6">
        <w:t>DoSChem</w:t>
      </w:r>
      <w:proofErr w:type="spellEnd"/>
      <w:r w:rsidRPr="005810D6">
        <w:t xml:space="preserve">), University of Vienna, </w:t>
      </w:r>
      <w:proofErr w:type="spellStart"/>
      <w:r w:rsidRPr="005810D6">
        <w:t>Währinger</w:t>
      </w:r>
      <w:proofErr w:type="spellEnd"/>
      <w:r w:rsidRPr="005810D6">
        <w:t xml:space="preserve"> </w:t>
      </w:r>
      <w:proofErr w:type="spellStart"/>
      <w:r w:rsidRPr="005810D6">
        <w:t>Straße</w:t>
      </w:r>
      <w:proofErr w:type="spellEnd"/>
      <w:r w:rsidRPr="005810D6">
        <w:t xml:space="preserve"> 42, 1090 Vienna, Austria.</w:t>
      </w:r>
      <w:r w:rsidR="00BE01DA">
        <w:t xml:space="preserve"> </w:t>
      </w:r>
      <w:r w:rsidRPr="005810D6">
        <w:t xml:space="preserve">² Institute of Inorganic Chemistry, University of Vienna, </w:t>
      </w:r>
      <w:proofErr w:type="spellStart"/>
      <w:r w:rsidRPr="005810D6">
        <w:t>Währinger</w:t>
      </w:r>
      <w:proofErr w:type="spellEnd"/>
      <w:r w:rsidRPr="005810D6">
        <w:t xml:space="preserve"> </w:t>
      </w:r>
      <w:proofErr w:type="spellStart"/>
      <w:r w:rsidRPr="005810D6">
        <w:t>Straße</w:t>
      </w:r>
      <w:proofErr w:type="spellEnd"/>
      <w:r w:rsidRPr="005810D6">
        <w:t xml:space="preserve"> 42, 1090 Vienna, Austria.</w:t>
      </w:r>
      <w:r w:rsidR="00BE01DA">
        <w:t xml:space="preserve"> </w:t>
      </w:r>
      <w:r w:rsidRPr="005810D6">
        <w:t>³ Institute for Chemical and Bioengineering, ETH Zurich, Vladimir-Prelog-</w:t>
      </w:r>
      <w:proofErr w:type="spellStart"/>
      <w:r w:rsidRPr="005810D6">
        <w:t>Weg</w:t>
      </w:r>
      <w:proofErr w:type="spellEnd"/>
      <w:r w:rsidRPr="005810D6">
        <w:t xml:space="preserve"> 1-5/10, 8093 Zurich, Switzerland.</w:t>
      </w:r>
      <w:r w:rsidR="00BE01DA">
        <w:t xml:space="preserve"> </w:t>
      </w:r>
      <w:r w:rsidRPr="005810D6">
        <w:t xml:space="preserve">⁴ PSI Centre for Energy and Environmental Sciences, Paul Scherrer </w:t>
      </w:r>
      <w:r w:rsidR="00BE01DA" w:rsidRPr="005810D6">
        <w:t>Institute</w:t>
      </w:r>
      <w:r w:rsidRPr="005810D6">
        <w:t>, Switzerland.</w:t>
      </w:r>
    </w:p>
    <w:p w14:paraId="391ED674" w14:textId="77777777" w:rsidR="00AF254E" w:rsidRPr="00AF254E" w:rsidRDefault="00AF254E" w:rsidP="00AF254E">
      <w:pPr>
        <w:rPr>
          <w:lang w:eastAsia="cs-CZ"/>
        </w:rPr>
      </w:pPr>
    </w:p>
    <w:p w14:paraId="750BA1A9" w14:textId="2453DDA0" w:rsidR="00AF254E" w:rsidRPr="00AF254E" w:rsidRDefault="00AF254E" w:rsidP="00AF254E">
      <w:r w:rsidRPr="00AF254E">
        <w:t xml:space="preserve">Zeolites are crystalline microporous aluminosilicates extensively used as catalysts and adsorbents due to their shape-selective micropore network and </w:t>
      </w:r>
      <w:proofErr w:type="spellStart"/>
      <w:r w:rsidRPr="00AF254E">
        <w:t>tunable</w:t>
      </w:r>
      <w:proofErr w:type="spellEnd"/>
      <w:r w:rsidRPr="00AF254E">
        <w:t xml:space="preserve"> acidity, which arises from the isomorphous substitution of </w:t>
      </w:r>
      <w:proofErr w:type="gramStart"/>
      <w:r w:rsidRPr="00AF254E">
        <w:t>Si(</w:t>
      </w:r>
      <w:proofErr w:type="gramEnd"/>
      <w:r w:rsidRPr="00AF254E">
        <w:t xml:space="preserve">IV) by Al(III) in the framework. This substitution introduces </w:t>
      </w:r>
      <w:proofErr w:type="spellStart"/>
      <w:r w:rsidRPr="00AF254E">
        <w:t>Brønsted</w:t>
      </w:r>
      <w:proofErr w:type="spellEnd"/>
      <w:r w:rsidRPr="00AF254E">
        <w:t xml:space="preserve"> acid sites when balanced by protons, making zeolites highly effective for catalytic transformations across petroleum refining, biomass valorisation, and CO₂ utili</w:t>
      </w:r>
      <w:r>
        <w:t>s</w:t>
      </w:r>
      <w:r w:rsidRPr="00AF254E">
        <w:t>ation [1, 2]. The activity and selectivity of zeolites depend not only on the total Al content but also critically on the precise location of Al atoms within specific crystallographic T-sites [2, 3].</w:t>
      </w:r>
    </w:p>
    <w:p w14:paraId="427D3979" w14:textId="406A0A62" w:rsidR="00AF254E" w:rsidRPr="00AF254E" w:rsidRDefault="00AF254E" w:rsidP="00AF254E">
      <w:r w:rsidRPr="00AF254E">
        <w:t xml:space="preserve">Despite this importance, determining </w:t>
      </w:r>
      <w:r>
        <w:t xml:space="preserve">the </w:t>
      </w:r>
      <w:r w:rsidRPr="00AF254E">
        <w:t>framework Al positions remain a persistent challenge. Techniques such as solid-state ²⁷Al NMR and UV-vis spectroscopy provide indirect information and are often limited in resolution. More direct structural insights have been achieved using synchrotron anomalous X-ray powder diffraction (AXRD), which has allowed quantification of Al occupancies in frameworks such as MFI and FER, although its effectiveness diminishes for high Si/Al zeolites and nanosized crystals due to the minimal scattering contrast between Si and Al [4].</w:t>
      </w:r>
    </w:p>
    <w:p w14:paraId="59129CA4" w14:textId="67B158B9" w:rsidR="00AF254E" w:rsidRPr="00AF254E" w:rsidRDefault="00AF254E" w:rsidP="00AF254E">
      <w:r w:rsidRPr="00AF254E">
        <w:t>In this study, we employ three-dimensional electron diffraction (3D ED), an emerging technique that enables structural analysis of sub-micrometre zeolite crystals with high sensitivity to differences in valence electron density. Unlike conventional X-ray methods, 3D ED can distinguish between framework Si and Al, even in materials with high Si/Al ratios [5]. Building on previous studies demonstrating Al/Si discrimination by 3D ED [6], we demonstrate its capability to directly identify Al occupancy at specific T-sites, offering a powerful tool for atomic-scale characterisation of zeolites and guiding the rational design of advanced catalytic materials</w:t>
      </w:r>
      <w:r>
        <w:t xml:space="preserve"> (ss Fig. 1).</w:t>
      </w:r>
    </w:p>
    <w:p w14:paraId="2FF55877" w14:textId="77777777" w:rsidR="00AF254E" w:rsidRDefault="00AF254E" w:rsidP="00BE01DA"/>
    <w:p w14:paraId="33EC58E6" w14:textId="77777777" w:rsidR="00BE01DA" w:rsidRDefault="00BE01DA" w:rsidP="00AF254E">
      <w:pPr>
        <w:pStyle w:val="BodyText"/>
        <w:keepNext/>
        <w:spacing w:line="254" w:lineRule="auto"/>
        <w:ind w:right="808"/>
        <w:jc w:val="center"/>
      </w:pPr>
      <w:r w:rsidRPr="005810D6">
        <w:rPr>
          <w:noProof/>
        </w:rPr>
        <w:drawing>
          <wp:inline distT="0" distB="0" distL="0" distR="0" wp14:anchorId="03474F99" wp14:editId="470C3EDB">
            <wp:extent cx="1809415" cy="2680152"/>
            <wp:effectExtent l="0" t="3492" r="0" b="0"/>
            <wp:docPr id="15" name="Picture 14" descr="A structure of a molecu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BD8F86C-299D-3ECF-2CCF-803EDA8AEC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A structure of a molecule&#10;&#10;Description automatically generated">
                      <a:extLst>
                        <a:ext uri="{FF2B5EF4-FFF2-40B4-BE49-F238E27FC236}">
                          <a16:creationId xmlns:a16="http://schemas.microsoft.com/office/drawing/2014/main" id="{3BD8F86C-299D-3ECF-2CCF-803EDA8AEC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40055" t="18215" r="40061" b="18671"/>
                    <a:stretch/>
                  </pic:blipFill>
                  <pic:spPr>
                    <a:xfrm rot="5400000">
                      <a:off x="0" y="0"/>
                      <a:ext cx="1831907" cy="271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BF2FF" w14:textId="1C4BA9CC" w:rsidR="00BE01DA" w:rsidRDefault="00BE01DA" w:rsidP="00BE01DA">
      <w:pPr>
        <w:pStyle w:val="Heading6"/>
      </w:pPr>
      <w:r w:rsidRPr="00BE01DA">
        <w:t xml:space="preserve">Figure </w:t>
      </w:r>
      <w:r w:rsidRPr="00BE01DA">
        <w:fldChar w:fldCharType="begin"/>
      </w:r>
      <w:r w:rsidRPr="00BE01DA">
        <w:instrText xml:space="preserve"> SEQ Figure \* ARABIC </w:instrText>
      </w:r>
      <w:r w:rsidRPr="00BE01DA">
        <w:fldChar w:fldCharType="separate"/>
      </w:r>
      <w:r w:rsidRPr="00BE01DA">
        <w:rPr>
          <w:noProof/>
        </w:rPr>
        <w:t>1</w:t>
      </w:r>
      <w:r w:rsidRPr="00BE01DA">
        <w:fldChar w:fldCharType="end"/>
      </w:r>
      <w:r w:rsidRPr="00BE01DA">
        <w:t xml:space="preserve">. </w:t>
      </w:r>
      <w:r w:rsidRPr="00BE01DA">
        <w:rPr>
          <w:lang w:val="en-AT"/>
        </w:rPr>
        <w:t>Direct locali</w:t>
      </w:r>
      <w:r>
        <w:rPr>
          <w:lang w:val="en-AT"/>
        </w:rPr>
        <w:t>s</w:t>
      </w:r>
      <w:r w:rsidRPr="00BE01DA">
        <w:rPr>
          <w:lang w:val="en-AT"/>
        </w:rPr>
        <w:t>ation of aluminum (blue) and silicon (gr</w:t>
      </w:r>
      <w:r>
        <w:rPr>
          <w:lang w:val="en-AT"/>
        </w:rPr>
        <w:t>e</w:t>
      </w:r>
      <w:r w:rsidRPr="00BE01DA">
        <w:rPr>
          <w:lang w:val="en-AT"/>
        </w:rPr>
        <w:t xml:space="preserve">y) atoms in a </w:t>
      </w:r>
      <w:r w:rsidR="009C39F7">
        <w:rPr>
          <w:lang w:val="en-AT"/>
        </w:rPr>
        <w:t xml:space="preserve">ZSM-5 </w:t>
      </w:r>
      <w:r w:rsidRPr="00BE01DA">
        <w:rPr>
          <w:lang w:val="en-AT"/>
        </w:rPr>
        <w:t>zeolite framework from individual crystals using electron diffraction.</w:t>
      </w:r>
      <w:r>
        <w:t xml:space="preserve"> </w:t>
      </w:r>
    </w:p>
    <w:p w14:paraId="337CF615" w14:textId="77777777" w:rsidR="00AF254E" w:rsidRPr="00AF254E" w:rsidRDefault="00AF254E" w:rsidP="00AF254E">
      <w:pPr>
        <w:rPr>
          <w:rFonts w:eastAsiaTheme="majorEastAsia"/>
          <w:lang w:val="en-AT"/>
        </w:rPr>
      </w:pPr>
    </w:p>
    <w:p w14:paraId="01035A46" w14:textId="77777777" w:rsidR="00AF254E" w:rsidRPr="009C39F7" w:rsidRDefault="00AF254E" w:rsidP="00AF254E">
      <w:pPr>
        <w:rPr>
          <w:lang w:val="de-AT"/>
        </w:rPr>
      </w:pPr>
      <w:r w:rsidRPr="00AF254E">
        <w:t xml:space="preserve">[1] Li, J., Gao, M., Yan, W. &amp; Yu, J. (2023). </w:t>
      </w:r>
      <w:r w:rsidRPr="009C39F7">
        <w:rPr>
          <w:lang w:val="de-AT"/>
        </w:rPr>
        <w:t xml:space="preserve">Chem. </w:t>
      </w:r>
      <w:proofErr w:type="spellStart"/>
      <w:r w:rsidRPr="009C39F7">
        <w:rPr>
          <w:lang w:val="de-AT"/>
        </w:rPr>
        <w:t>Sci</w:t>
      </w:r>
      <w:proofErr w:type="spellEnd"/>
      <w:r w:rsidRPr="009C39F7">
        <w:rPr>
          <w:lang w:val="de-AT"/>
        </w:rPr>
        <w:t>., 14, 1935.</w:t>
      </w:r>
    </w:p>
    <w:p w14:paraId="78AAE91F" w14:textId="77777777" w:rsidR="00AF254E" w:rsidRPr="009C39F7" w:rsidRDefault="00AF254E" w:rsidP="00AF254E">
      <w:pPr>
        <w:rPr>
          <w:lang w:val="de-AT"/>
        </w:rPr>
      </w:pPr>
      <w:r w:rsidRPr="009C39F7">
        <w:rPr>
          <w:lang w:val="de-AT"/>
        </w:rPr>
        <w:t xml:space="preserve">[2] </w:t>
      </w:r>
      <w:proofErr w:type="spellStart"/>
      <w:r w:rsidRPr="009C39F7">
        <w:rPr>
          <w:lang w:val="de-AT"/>
        </w:rPr>
        <w:t>Sklenak</w:t>
      </w:r>
      <w:proofErr w:type="spellEnd"/>
      <w:r w:rsidRPr="009C39F7">
        <w:rPr>
          <w:lang w:val="de-AT"/>
        </w:rPr>
        <w:t xml:space="preserve">, S. et al. (2007). </w:t>
      </w:r>
      <w:proofErr w:type="spellStart"/>
      <w:r w:rsidRPr="009C39F7">
        <w:rPr>
          <w:lang w:val="de-AT"/>
        </w:rPr>
        <w:t>Angew</w:t>
      </w:r>
      <w:proofErr w:type="spellEnd"/>
      <w:r w:rsidRPr="009C39F7">
        <w:rPr>
          <w:lang w:val="de-AT"/>
        </w:rPr>
        <w:t>. Chem. Int. Ed., 46, 7286.</w:t>
      </w:r>
    </w:p>
    <w:p w14:paraId="4FBE4538" w14:textId="77777777" w:rsidR="00AF254E" w:rsidRPr="009C39F7" w:rsidRDefault="00AF254E" w:rsidP="00AF254E">
      <w:pPr>
        <w:rPr>
          <w:lang w:val="de-AT"/>
        </w:rPr>
      </w:pPr>
      <w:r w:rsidRPr="009C39F7">
        <w:rPr>
          <w:lang w:val="de-AT"/>
        </w:rPr>
        <w:t xml:space="preserve">[3] Wang, S. et al. (2019). J. </w:t>
      </w:r>
      <w:proofErr w:type="spellStart"/>
      <w:r w:rsidRPr="009C39F7">
        <w:rPr>
          <w:lang w:val="de-AT"/>
        </w:rPr>
        <w:t>Catal</w:t>
      </w:r>
      <w:proofErr w:type="spellEnd"/>
      <w:r w:rsidRPr="009C39F7">
        <w:rPr>
          <w:lang w:val="de-AT"/>
        </w:rPr>
        <w:t>., 377, 81.</w:t>
      </w:r>
    </w:p>
    <w:p w14:paraId="51725D6B" w14:textId="77777777" w:rsidR="00AF254E" w:rsidRPr="009C39F7" w:rsidRDefault="00AF254E" w:rsidP="00AF254E">
      <w:pPr>
        <w:rPr>
          <w:lang w:val="de-AT"/>
        </w:rPr>
      </w:pPr>
      <w:r w:rsidRPr="009C39F7">
        <w:rPr>
          <w:lang w:val="de-AT"/>
        </w:rPr>
        <w:t xml:space="preserve">[4] Pinar, A. B. et al. (2021). J. Am. Chem. </w:t>
      </w:r>
      <w:proofErr w:type="spellStart"/>
      <w:r w:rsidRPr="009C39F7">
        <w:rPr>
          <w:lang w:val="de-AT"/>
        </w:rPr>
        <w:t>Soc</w:t>
      </w:r>
      <w:proofErr w:type="spellEnd"/>
      <w:r w:rsidRPr="009C39F7">
        <w:rPr>
          <w:lang w:val="de-AT"/>
        </w:rPr>
        <w:t>., 143, 17926.</w:t>
      </w:r>
    </w:p>
    <w:p w14:paraId="2B76B72D" w14:textId="77777777" w:rsidR="00AF254E" w:rsidRPr="00AF254E" w:rsidRDefault="00AF254E" w:rsidP="00AF254E">
      <w:r w:rsidRPr="009C39F7">
        <w:rPr>
          <w:lang w:val="de-AT"/>
        </w:rPr>
        <w:t xml:space="preserve">[5] Zheng, J.-C. et al. </w:t>
      </w:r>
      <w:r w:rsidRPr="00AF254E">
        <w:t xml:space="preserve">(2005). J. Appl. </w:t>
      </w:r>
      <w:proofErr w:type="spellStart"/>
      <w:r w:rsidRPr="00AF254E">
        <w:t>Crystallogr</w:t>
      </w:r>
      <w:proofErr w:type="spellEnd"/>
      <w:r w:rsidRPr="00AF254E">
        <w:t>., 38, 648.</w:t>
      </w:r>
    </w:p>
    <w:p w14:paraId="045E0302" w14:textId="77777777" w:rsidR="00AF254E" w:rsidRPr="00AF254E" w:rsidRDefault="00AF254E" w:rsidP="00AF254E">
      <w:r w:rsidRPr="00AF254E">
        <w:t xml:space="preserve">[6] </w:t>
      </w:r>
      <w:proofErr w:type="spellStart"/>
      <w:r w:rsidRPr="00AF254E">
        <w:t>Fröjdh</w:t>
      </w:r>
      <w:proofErr w:type="spellEnd"/>
      <w:r w:rsidRPr="00AF254E">
        <w:t>, E. et al. (2020). Crystals, 10, 1148.</w:t>
      </w:r>
    </w:p>
    <w:p w14:paraId="10DBF03D" w14:textId="4BEA9282" w:rsidR="00AF254E" w:rsidRPr="00AF254E" w:rsidRDefault="00AF254E" w:rsidP="00AF254E">
      <w:pPr>
        <w:pStyle w:val="p1"/>
        <w:rPr>
          <w:sz w:val="18"/>
          <w:szCs w:val="18"/>
        </w:rPr>
      </w:pPr>
    </w:p>
    <w:sectPr w:rsidR="00AF254E" w:rsidRPr="00AF254E">
      <w:headerReference w:type="default" r:id="rId9"/>
      <w:footerReference w:type="default" r:id="rId10"/>
      <w:pgSz w:w="12240" w:h="15840"/>
      <w:pgMar w:top="765" w:right="720" w:bottom="765" w:left="720" w:header="708" w:footer="708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58C679" w14:textId="77777777" w:rsidR="002A1E3D" w:rsidRDefault="002A1E3D">
      <w:pPr>
        <w:spacing w:after="0"/>
      </w:pPr>
      <w:r>
        <w:separator/>
      </w:r>
    </w:p>
  </w:endnote>
  <w:endnote w:type="continuationSeparator" w:id="0">
    <w:p w14:paraId="0E83DB43" w14:textId="77777777" w:rsidR="002A1E3D" w:rsidRDefault="002A1E3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A010F" w14:textId="77777777" w:rsidR="0023790C" w:rsidRDefault="00000000">
    <w:pPr>
      <w:pStyle w:val="Footer"/>
    </w:pPr>
    <w:r>
      <w:t xml:space="preserve">Acta </w:t>
    </w:r>
    <w:proofErr w:type="spellStart"/>
    <w:r>
      <w:t>Cryst</w:t>
    </w:r>
    <w:proofErr w:type="spellEnd"/>
    <w:r>
      <w:t>. (2025). A81, e1</w:t>
    </w:r>
  </w:p>
  <w:p w14:paraId="4F778B6B" w14:textId="77777777" w:rsidR="0023790C" w:rsidRDefault="0023790C">
    <w:pPr>
      <w:tabs>
        <w:tab w:val="center" w:pos="4703"/>
        <w:tab w:val="right" w:pos="94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A28D8D" w14:textId="77777777" w:rsidR="002A1E3D" w:rsidRDefault="002A1E3D">
      <w:pPr>
        <w:spacing w:after="0"/>
      </w:pPr>
      <w:r>
        <w:separator/>
      </w:r>
    </w:p>
  </w:footnote>
  <w:footnote w:type="continuationSeparator" w:id="0">
    <w:p w14:paraId="654B6E7A" w14:textId="77777777" w:rsidR="002A1E3D" w:rsidRDefault="002A1E3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5B90C" w14:textId="77777777" w:rsidR="0023790C" w:rsidRDefault="00000000">
    <w:pPr>
      <w:tabs>
        <w:tab w:val="center" w:pos="4703"/>
        <w:tab w:val="right" w:pos="9406"/>
      </w:tabs>
    </w:pPr>
    <w:r>
      <w:rPr>
        <w:b/>
        <w:bCs/>
      </w:rPr>
      <w:t>MS</w:t>
    </w:r>
    <w:r>
      <w:tab/>
    </w:r>
    <w:proofErr w:type="spellStart"/>
    <w:r>
      <w:rPr>
        <w:b/>
        <w:bCs/>
      </w:rPr>
      <w:t>Microsymposium</w:t>
    </w:r>
    <w:proofErr w:type="spellEnd"/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F66E40"/>
    <w:multiLevelType w:val="hybridMultilevel"/>
    <w:tmpl w:val="BB541A92"/>
    <w:lvl w:ilvl="0" w:tplc="9E9A06F6">
      <w:start w:val="1"/>
      <w:numFmt w:val="decimal"/>
      <w:lvlText w:val="[%1]"/>
      <w:lvlJc w:val="left"/>
      <w:pPr>
        <w:ind w:left="731" w:hanging="311"/>
        <w:jc w:val="right"/>
      </w:pPr>
      <w:rPr>
        <w:rFonts w:ascii="Georgia" w:eastAsia="Georgia" w:hAnsi="Georgia" w:cs="Georgia" w:hint="default"/>
        <w:b w:val="0"/>
        <w:bCs w:val="0"/>
        <w:i w:val="0"/>
        <w:iCs w:val="0"/>
        <w:spacing w:val="0"/>
        <w:w w:val="89"/>
        <w:sz w:val="20"/>
        <w:szCs w:val="20"/>
        <w:lang w:val="en-US" w:eastAsia="en-US" w:bidi="ar-SA"/>
      </w:rPr>
    </w:lvl>
    <w:lvl w:ilvl="1" w:tplc="78F851AC">
      <w:numFmt w:val="bullet"/>
      <w:lvlText w:val="•"/>
      <w:lvlJc w:val="left"/>
      <w:pPr>
        <w:ind w:left="1520" w:hanging="311"/>
      </w:pPr>
      <w:rPr>
        <w:rFonts w:hint="default"/>
        <w:lang w:val="en-US" w:eastAsia="en-US" w:bidi="ar-SA"/>
      </w:rPr>
    </w:lvl>
    <w:lvl w:ilvl="2" w:tplc="C9CE5CFC">
      <w:numFmt w:val="bullet"/>
      <w:lvlText w:val="•"/>
      <w:lvlJc w:val="left"/>
      <w:pPr>
        <w:ind w:left="2301" w:hanging="311"/>
      </w:pPr>
      <w:rPr>
        <w:rFonts w:hint="default"/>
        <w:lang w:val="en-US" w:eastAsia="en-US" w:bidi="ar-SA"/>
      </w:rPr>
    </w:lvl>
    <w:lvl w:ilvl="3" w:tplc="954E57E8">
      <w:numFmt w:val="bullet"/>
      <w:lvlText w:val="•"/>
      <w:lvlJc w:val="left"/>
      <w:pPr>
        <w:ind w:left="3081" w:hanging="311"/>
      </w:pPr>
      <w:rPr>
        <w:rFonts w:hint="default"/>
        <w:lang w:val="en-US" w:eastAsia="en-US" w:bidi="ar-SA"/>
      </w:rPr>
    </w:lvl>
    <w:lvl w:ilvl="4" w:tplc="D7100DE0">
      <w:numFmt w:val="bullet"/>
      <w:lvlText w:val="•"/>
      <w:lvlJc w:val="left"/>
      <w:pPr>
        <w:ind w:left="3862" w:hanging="311"/>
      </w:pPr>
      <w:rPr>
        <w:rFonts w:hint="default"/>
        <w:lang w:val="en-US" w:eastAsia="en-US" w:bidi="ar-SA"/>
      </w:rPr>
    </w:lvl>
    <w:lvl w:ilvl="5" w:tplc="ADA88C22">
      <w:numFmt w:val="bullet"/>
      <w:lvlText w:val="•"/>
      <w:lvlJc w:val="left"/>
      <w:pPr>
        <w:ind w:left="4642" w:hanging="311"/>
      </w:pPr>
      <w:rPr>
        <w:rFonts w:hint="default"/>
        <w:lang w:val="en-US" w:eastAsia="en-US" w:bidi="ar-SA"/>
      </w:rPr>
    </w:lvl>
    <w:lvl w:ilvl="6" w:tplc="947E0E8A">
      <w:numFmt w:val="bullet"/>
      <w:lvlText w:val="•"/>
      <w:lvlJc w:val="left"/>
      <w:pPr>
        <w:ind w:left="5423" w:hanging="311"/>
      </w:pPr>
      <w:rPr>
        <w:rFonts w:hint="default"/>
        <w:lang w:val="en-US" w:eastAsia="en-US" w:bidi="ar-SA"/>
      </w:rPr>
    </w:lvl>
    <w:lvl w:ilvl="7" w:tplc="1062D526">
      <w:numFmt w:val="bullet"/>
      <w:lvlText w:val="•"/>
      <w:lvlJc w:val="left"/>
      <w:pPr>
        <w:ind w:left="6203" w:hanging="311"/>
      </w:pPr>
      <w:rPr>
        <w:rFonts w:hint="default"/>
        <w:lang w:val="en-US" w:eastAsia="en-US" w:bidi="ar-SA"/>
      </w:rPr>
    </w:lvl>
    <w:lvl w:ilvl="8" w:tplc="A5A095E6">
      <w:numFmt w:val="bullet"/>
      <w:lvlText w:val="•"/>
      <w:lvlJc w:val="left"/>
      <w:pPr>
        <w:ind w:left="6984" w:hanging="311"/>
      </w:pPr>
      <w:rPr>
        <w:rFonts w:hint="default"/>
        <w:lang w:val="en-US" w:eastAsia="en-US" w:bidi="ar-SA"/>
      </w:rPr>
    </w:lvl>
  </w:abstractNum>
  <w:num w:numId="1" w16cid:durableId="18758029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embedSystemFonts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90C"/>
    <w:rsid w:val="0023790C"/>
    <w:rsid w:val="002A1E3D"/>
    <w:rsid w:val="005810D6"/>
    <w:rsid w:val="007E6A9F"/>
    <w:rsid w:val="009C39F7"/>
    <w:rsid w:val="00AF254E"/>
    <w:rsid w:val="00BE01DA"/>
    <w:rsid w:val="00E71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02D355F"/>
  <w15:docId w15:val="{BD2ADF32-0486-564F-9080-AB3AA17C7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275"/>
    <w:pPr>
      <w:spacing w:after="120"/>
      <w:jc w:val="both"/>
    </w:pPr>
    <w:rPr>
      <w:lang w:eastAsia="de-DE"/>
    </w:rPr>
  </w:style>
  <w:style w:type="paragraph" w:styleId="Heading1">
    <w:name w:val="heading 1"/>
    <w:basedOn w:val="Normal"/>
    <w:next w:val="Heading2"/>
    <w:link w:val="Heading1Char"/>
    <w:uiPriority w:val="99"/>
    <w:qFormat/>
    <w:rsid w:val="00925275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2"/>
      <w:sz w:val="24"/>
      <w:szCs w:val="32"/>
    </w:rPr>
  </w:style>
  <w:style w:type="paragraph" w:styleId="Heading2">
    <w:name w:val="heading 2"/>
    <w:basedOn w:val="Normal"/>
    <w:next w:val="Heading3"/>
    <w:link w:val="Heading2Char"/>
    <w:uiPriority w:val="99"/>
    <w:qFormat/>
    <w:rsid w:val="00925275"/>
    <w:pPr>
      <w:keepNext/>
      <w:spacing w:before="240" w:after="240"/>
      <w:jc w:val="center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E03DB"/>
    <w:pPr>
      <w:keepNext/>
      <w:jc w:val="center"/>
      <w:outlineLvl w:val="2"/>
    </w:pPr>
    <w:rPr>
      <w:bCs/>
      <w:i/>
      <w:szCs w:val="24"/>
      <w:lang w:eastAsia="cs-CZ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F732E"/>
    <w:pPr>
      <w:keepNext/>
      <w:ind w:left="567" w:hanging="567"/>
      <w:outlineLvl w:val="3"/>
    </w:pPr>
    <w:rPr>
      <w:bCs/>
      <w:sz w:val="18"/>
      <w:szCs w:val="24"/>
      <w:lang w:eastAsia="cs-CZ"/>
    </w:rPr>
  </w:style>
  <w:style w:type="paragraph" w:styleId="Heading5">
    <w:name w:val="heading 5"/>
    <w:basedOn w:val="Heading6"/>
    <w:next w:val="Normal"/>
    <w:link w:val="Heading5Char"/>
    <w:uiPriority w:val="9"/>
    <w:unhideWhenUsed/>
    <w:qFormat/>
    <w:rsid w:val="00605A18"/>
    <w:pPr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77DA8"/>
    <w:pPr>
      <w:spacing w:after="60"/>
      <w:jc w:val="center"/>
      <w:outlineLvl w:val="5"/>
    </w:pPr>
    <w:rPr>
      <w:b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qFormat/>
    <w:locked/>
    <w:rsid w:val="00925275"/>
    <w:rPr>
      <w:rFonts w:ascii="Arial" w:hAnsi="Arial" w:cs="Arial"/>
      <w:b/>
      <w:bCs/>
      <w:kern w:val="2"/>
      <w:sz w:val="24"/>
      <w:szCs w:val="32"/>
      <w:lang w:val="en-GB" w:eastAsia="de-DE"/>
    </w:rPr>
  </w:style>
  <w:style w:type="character" w:customStyle="1" w:styleId="Heading2Char">
    <w:name w:val="Heading 2 Char"/>
    <w:link w:val="Heading2"/>
    <w:uiPriority w:val="99"/>
    <w:qFormat/>
    <w:locked/>
    <w:rsid w:val="00925275"/>
    <w:rPr>
      <w:rFonts w:ascii="Arial" w:hAnsi="Arial" w:cs="Arial"/>
      <w:b/>
      <w:bCs/>
      <w:iCs/>
      <w:sz w:val="22"/>
      <w:szCs w:val="28"/>
      <w:lang w:val="en-GB" w:eastAsia="de-DE"/>
    </w:rPr>
  </w:style>
  <w:style w:type="character" w:customStyle="1" w:styleId="Heading3Char">
    <w:name w:val="Heading 3 Char"/>
    <w:link w:val="Heading3"/>
    <w:uiPriority w:val="99"/>
    <w:qFormat/>
    <w:locked/>
    <w:rsid w:val="002E03DB"/>
    <w:rPr>
      <w:bCs/>
      <w:i/>
      <w:sz w:val="22"/>
      <w:szCs w:val="24"/>
      <w:lang w:val="en-GB"/>
    </w:rPr>
  </w:style>
  <w:style w:type="character" w:customStyle="1" w:styleId="Heading4Char">
    <w:name w:val="Heading 4 Char"/>
    <w:link w:val="Heading4"/>
    <w:uiPriority w:val="99"/>
    <w:qFormat/>
    <w:locked/>
    <w:rsid w:val="00FF732E"/>
    <w:rPr>
      <w:bCs/>
      <w:sz w:val="18"/>
      <w:szCs w:val="24"/>
      <w:lang w:val="en-GB"/>
    </w:rPr>
  </w:style>
  <w:style w:type="character" w:customStyle="1" w:styleId="HTMLAddressChar">
    <w:name w:val="HTML Address Char"/>
    <w:link w:val="HTMLAddress"/>
    <w:uiPriority w:val="99"/>
    <w:semiHidden/>
    <w:qFormat/>
    <w:rsid w:val="005E6DCD"/>
    <w:rPr>
      <w:i/>
      <w:iCs/>
      <w:lang w:val="de-DE" w:eastAsia="de-DE"/>
    </w:rPr>
  </w:style>
  <w:style w:type="character" w:customStyle="1" w:styleId="Heading5Char">
    <w:name w:val="Heading 5 Char"/>
    <w:link w:val="Heading5"/>
    <w:uiPriority w:val="9"/>
    <w:qFormat/>
    <w:rsid w:val="00605A18"/>
    <w:rPr>
      <w:b/>
      <w:bCs/>
      <w:szCs w:val="22"/>
      <w:lang w:val="en-GB" w:eastAsia="de-DE"/>
    </w:rPr>
  </w:style>
  <w:style w:type="character" w:customStyle="1" w:styleId="Heading6Char">
    <w:name w:val="Heading 6 Char"/>
    <w:link w:val="Heading6"/>
    <w:uiPriority w:val="9"/>
    <w:qFormat/>
    <w:rsid w:val="00777DA8"/>
    <w:rPr>
      <w:rFonts w:eastAsia="Times New Roman" w:cs="Times New Roman"/>
      <w:bCs/>
      <w:szCs w:val="22"/>
      <w:lang w:val="de-DE" w:eastAsia="de-DE"/>
    </w:rPr>
  </w:style>
  <w:style w:type="character" w:customStyle="1" w:styleId="HeaderChar">
    <w:name w:val="Header Char"/>
    <w:link w:val="Header"/>
    <w:uiPriority w:val="99"/>
    <w:qFormat/>
    <w:rsid w:val="00D13351"/>
    <w:rPr>
      <w:lang w:val="en-GB" w:eastAsia="de-DE"/>
    </w:rPr>
  </w:style>
  <w:style w:type="character" w:customStyle="1" w:styleId="FooterChar">
    <w:name w:val="Footer Char"/>
    <w:link w:val="Footer"/>
    <w:uiPriority w:val="99"/>
    <w:qFormat/>
    <w:rsid w:val="00D13351"/>
    <w:rPr>
      <w:lang w:val="en-GB" w:eastAsia="de-DE"/>
    </w:rPr>
  </w:style>
  <w:style w:type="character" w:customStyle="1" w:styleId="BalloonTextChar">
    <w:name w:val="Balloon Text Char"/>
    <w:link w:val="BalloonText"/>
    <w:uiPriority w:val="99"/>
    <w:semiHidden/>
    <w:qFormat/>
    <w:rsid w:val="00C64DBE"/>
    <w:rPr>
      <w:rFonts w:ascii="Tahoma" w:hAnsi="Tahoma" w:cs="Tahoma"/>
      <w:sz w:val="16"/>
      <w:szCs w:val="16"/>
      <w:lang w:val="en-GB" w:eastAsia="de-DE"/>
    </w:rPr>
  </w:style>
  <w:style w:type="paragraph" w:customStyle="1" w:styleId="Heading">
    <w:name w:val="Heading"/>
    <w:basedOn w:val="Normal"/>
    <w:next w:val="BodyText"/>
    <w:qFormat/>
    <w:pPr>
      <w:keepNext/>
      <w:spacing w:before="24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uiPriority w:val="35"/>
    <w:qFormat/>
    <w:pPr>
      <w:suppressLineNumbers/>
      <w:spacing w:before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Acknowledgement">
    <w:name w:val="Acknowledgement"/>
    <w:basedOn w:val="Normal"/>
    <w:qFormat/>
    <w:rsid w:val="00777DA8"/>
    <w:rPr>
      <w:i/>
    </w:rPr>
  </w:style>
  <w:style w:type="paragraph" w:styleId="HTMLAddress">
    <w:name w:val="HTML Address"/>
    <w:basedOn w:val="Normal"/>
    <w:link w:val="HTMLAddressChar"/>
    <w:uiPriority w:val="99"/>
    <w:semiHidden/>
    <w:unhideWhenUsed/>
    <w:qFormat/>
    <w:rsid w:val="005E6DCD"/>
    <w:rPr>
      <w:i/>
      <w:iCs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D13351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unhideWhenUsed/>
    <w:rsid w:val="00D13351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C64DBE"/>
    <w:pPr>
      <w:spacing w:after="0"/>
    </w:pPr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C263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810D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10D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810D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1"/>
    <w:qFormat/>
    <w:rsid w:val="005810D6"/>
    <w:pPr>
      <w:widowControl w:val="0"/>
      <w:suppressAutoHyphens w:val="0"/>
      <w:autoSpaceDE w:val="0"/>
      <w:autoSpaceDN w:val="0"/>
      <w:spacing w:before="199" w:after="0"/>
      <w:ind w:left="1221" w:right="317" w:hanging="310"/>
    </w:pPr>
    <w:rPr>
      <w:rFonts w:ascii="Georgia" w:eastAsia="Georgia" w:hAnsi="Georgia" w:cs="Georgia"/>
      <w:sz w:val="22"/>
      <w:szCs w:val="22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5810D6"/>
    <w:pPr>
      <w:widowControl w:val="0"/>
      <w:suppressAutoHyphens w:val="0"/>
      <w:autoSpaceDE w:val="0"/>
      <w:autoSpaceDN w:val="0"/>
      <w:spacing w:after="0"/>
      <w:contextualSpacing/>
      <w:jc w:val="left"/>
    </w:pPr>
    <w:rPr>
      <w:rFonts w:ascii="Cambria" w:hAnsi="Cambria"/>
      <w:spacing w:val="-10"/>
      <w:kern w:val="28"/>
      <w:sz w:val="56"/>
      <w:szCs w:val="56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5810D6"/>
    <w:rPr>
      <w:rFonts w:ascii="Cambria" w:hAnsi="Cambria"/>
      <w:spacing w:val="-10"/>
      <w:kern w:val="28"/>
      <w:sz w:val="56"/>
      <w:szCs w:val="56"/>
      <w:lang w:val="en-US" w:eastAsia="en-US"/>
    </w:rPr>
  </w:style>
  <w:style w:type="character" w:styleId="IntenseReference">
    <w:name w:val="Intense Reference"/>
    <w:uiPriority w:val="32"/>
    <w:qFormat/>
    <w:rsid w:val="005810D6"/>
    <w:rPr>
      <w:b/>
      <w:bCs/>
      <w:smallCaps/>
      <w:color w:val="4F81BD"/>
      <w:spacing w:val="5"/>
    </w:rPr>
  </w:style>
  <w:style w:type="paragraph" w:customStyle="1" w:styleId="p1">
    <w:name w:val="p1"/>
    <w:basedOn w:val="Normal"/>
    <w:rsid w:val="00BE01DA"/>
    <w:pPr>
      <w:suppressAutoHyphens w:val="0"/>
      <w:spacing w:before="100" w:beforeAutospacing="1" w:after="100" w:afterAutospacing="1"/>
      <w:jc w:val="left"/>
    </w:pPr>
    <w:rPr>
      <w:sz w:val="24"/>
      <w:szCs w:val="24"/>
      <w:lang w:val="en-AT" w:eastAsia="en-GB"/>
    </w:rPr>
  </w:style>
  <w:style w:type="paragraph" w:customStyle="1" w:styleId="p2">
    <w:name w:val="p2"/>
    <w:basedOn w:val="Normal"/>
    <w:rsid w:val="00BE01DA"/>
    <w:pPr>
      <w:suppressAutoHyphens w:val="0"/>
      <w:spacing w:before="100" w:beforeAutospacing="1" w:after="100" w:afterAutospacing="1"/>
      <w:jc w:val="left"/>
    </w:pPr>
    <w:rPr>
      <w:sz w:val="24"/>
      <w:szCs w:val="24"/>
      <w:lang w:val="en-AT" w:eastAsia="en-GB"/>
    </w:rPr>
  </w:style>
  <w:style w:type="character" w:customStyle="1" w:styleId="s1">
    <w:name w:val="s1"/>
    <w:basedOn w:val="DefaultParagraphFont"/>
    <w:rsid w:val="00BE01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8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21E0AE-6DDE-4FDB-AD25-D0DA1D2E6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458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Materials Structure</vt:lpstr>
    </vt:vector>
  </TitlesOfParts>
  <Company>MFF UK</Company>
  <LinksUpToDate>false</LinksUpToDate>
  <CharactersWithSpaces>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Materials Structure</dc:title>
  <dc:subject/>
  <dc:creator>Uživatel systému Windows</dc:creator>
  <dc:description/>
  <cp:lastModifiedBy>Soheil Mahmoudi</cp:lastModifiedBy>
  <cp:revision>3</cp:revision>
  <dcterms:created xsi:type="dcterms:W3CDTF">2025-05-10T14:53:00Z</dcterms:created>
  <dcterms:modified xsi:type="dcterms:W3CDTF">2025-05-10T14:55:00Z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