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7BA71" w14:textId="42465E19" w:rsidR="00B155D8" w:rsidRPr="00436B0E" w:rsidRDefault="00436B0E">
      <w:pPr>
        <w:pStyle w:val="Heading1"/>
        <w:rPr>
          <w:lang w:val="en-ZA"/>
        </w:rPr>
      </w:pPr>
      <w:r w:rsidRPr="00436B0E">
        <w:rPr>
          <w:lang w:val="en-ZA"/>
        </w:rPr>
        <w:t>Non-covalent interactions in silv</w:t>
      </w:r>
      <w:r>
        <w:rPr>
          <w:lang w:val="en-ZA"/>
        </w:rPr>
        <w:t>er(I) mixed-ligand complexes</w:t>
      </w:r>
    </w:p>
    <w:p w14:paraId="264856FF" w14:textId="0AC62D22" w:rsidR="00B155D8" w:rsidRPr="00174B9E" w:rsidRDefault="00174B9E">
      <w:pPr>
        <w:pStyle w:val="Heading2"/>
        <w:rPr>
          <w:lang w:val="fr-FR"/>
        </w:rPr>
      </w:pPr>
      <w:r w:rsidRPr="00174B9E">
        <w:rPr>
          <w:lang w:val="fr-FR"/>
        </w:rPr>
        <w:t>Tristan K. Theunissen,</w:t>
      </w:r>
      <w:r>
        <w:rPr>
          <w:vertAlign w:val="superscript"/>
          <w:lang w:val="fr-FR"/>
        </w:rPr>
        <w:t>1</w:t>
      </w:r>
      <w:r w:rsidRPr="00174B9E">
        <w:rPr>
          <w:lang w:val="fr-FR"/>
        </w:rPr>
        <w:t xml:space="preserve"> Vincenzo La Gorcé</w:t>
      </w:r>
      <w:r w:rsidRPr="00174B9E">
        <w:rPr>
          <w:lang w:val="fr-FR"/>
        </w:rPr>
        <w:t>,</w:t>
      </w:r>
      <w:r>
        <w:rPr>
          <w:vertAlign w:val="superscript"/>
          <w:lang w:val="fr-FR"/>
        </w:rPr>
        <w:t>1</w:t>
      </w:r>
      <w:r w:rsidR="00FA159D" w:rsidRPr="00174B9E">
        <w:rPr>
          <w:lang w:val="fr-FR"/>
        </w:rPr>
        <w:t xml:space="preserve"> </w:t>
      </w:r>
      <w:proofErr w:type="spellStart"/>
      <w:r w:rsidR="00436B0E" w:rsidRPr="00174B9E">
        <w:rPr>
          <w:lang w:val="fr-FR"/>
        </w:rPr>
        <w:t>Catharine</w:t>
      </w:r>
      <w:proofErr w:type="spellEnd"/>
      <w:r w:rsidR="00436B0E" w:rsidRPr="00174B9E">
        <w:rPr>
          <w:lang w:val="fr-FR"/>
        </w:rPr>
        <w:t xml:space="preserve"> Esterhuysen</w:t>
      </w:r>
      <w:r w:rsidR="00FA159D" w:rsidRPr="00174B9E">
        <w:rPr>
          <w:lang w:val="fr-FR"/>
        </w:rPr>
        <w:t>,</w:t>
      </w:r>
      <w:r>
        <w:rPr>
          <w:vertAlign w:val="superscript"/>
          <w:lang w:val="fr-FR"/>
        </w:rPr>
        <w:t>2</w:t>
      </w:r>
      <w:r w:rsidR="00FA159D" w:rsidRPr="00174B9E">
        <w:rPr>
          <w:lang w:val="fr-FR"/>
        </w:rPr>
        <w:t xml:space="preserve"> </w:t>
      </w:r>
      <w:r>
        <w:rPr>
          <w:lang w:val="fr-FR"/>
        </w:rPr>
        <w:t xml:space="preserve">and </w:t>
      </w:r>
      <w:r w:rsidRPr="00FA262A">
        <w:rPr>
          <w:u w:val="single"/>
          <w:lang w:val="fr-FR"/>
        </w:rPr>
        <w:t>Susan A. Bourne</w:t>
      </w:r>
      <w:r w:rsidRPr="00174B9E">
        <w:rPr>
          <w:vertAlign w:val="superscript"/>
          <w:lang w:val="fr-FR"/>
        </w:rPr>
        <w:t>1</w:t>
      </w:r>
    </w:p>
    <w:p w14:paraId="5D5A7DEA" w14:textId="5E8938EA" w:rsidR="00B360E3" w:rsidRDefault="00B360E3" w:rsidP="00B360E3">
      <w:pPr>
        <w:pStyle w:val="Heading3"/>
      </w:pPr>
      <w:r w:rsidRPr="00B360E3">
        <w:rPr>
          <w:vertAlign w:val="superscript"/>
        </w:rPr>
        <w:t>1</w:t>
      </w:r>
      <w:r>
        <w:t>Centre for Supramolecular Chemistry Research, Department of Chemistry, University of Cape Town, Rondebosch 7701, South Africa</w:t>
      </w:r>
    </w:p>
    <w:p w14:paraId="739D556B" w14:textId="6B2F306E" w:rsidR="00B360E3" w:rsidRPr="00CA11E2" w:rsidRDefault="00B360E3" w:rsidP="00B360E3">
      <w:pPr>
        <w:pStyle w:val="Heading3"/>
      </w:pPr>
      <w:r w:rsidRPr="00B360E3">
        <w:rPr>
          <w:vertAlign w:val="superscript"/>
        </w:rPr>
        <w:t>2</w:t>
      </w:r>
      <w:r w:rsidRPr="00570143">
        <w:t xml:space="preserve">Department of Chemistry </w:t>
      </w:r>
      <w:r>
        <w:t>&amp;</w:t>
      </w:r>
      <w:r w:rsidRPr="00570143">
        <w:t xml:space="preserve"> Polymer Science, University of Stellenbosch, </w:t>
      </w:r>
      <w:proofErr w:type="spellStart"/>
      <w:r>
        <w:t>Matieland</w:t>
      </w:r>
      <w:proofErr w:type="spellEnd"/>
      <w:r>
        <w:t xml:space="preserve"> </w:t>
      </w:r>
      <w:r w:rsidRPr="00570143">
        <w:t>7602, South Africa</w:t>
      </w:r>
    </w:p>
    <w:p w14:paraId="75E2DAC9" w14:textId="77777777" w:rsidR="00B360E3" w:rsidRPr="004F5F2A" w:rsidRDefault="00B360E3" w:rsidP="00B360E3">
      <w:pPr>
        <w:pStyle w:val="Heading3"/>
        <w:rPr>
          <w:lang w:val="fr-FR"/>
        </w:rPr>
      </w:pPr>
      <w:proofErr w:type="gramStart"/>
      <w:r w:rsidRPr="004F5F2A">
        <w:rPr>
          <w:lang w:val="fr-FR"/>
        </w:rPr>
        <w:t>E-mail:</w:t>
      </w:r>
      <w:proofErr w:type="gramEnd"/>
      <w:r w:rsidRPr="004F5F2A">
        <w:rPr>
          <w:lang w:val="fr-FR"/>
        </w:rPr>
        <w:t xml:space="preserve"> susan.bourne@uct.ac.za </w:t>
      </w:r>
    </w:p>
    <w:p w14:paraId="22F17F49" w14:textId="77777777" w:rsidR="00F41B80" w:rsidRPr="004F5F2A" w:rsidRDefault="00F41B80" w:rsidP="00F41B80">
      <w:pPr>
        <w:rPr>
          <w:lang w:val="fr-FR" w:eastAsia="cs-CZ"/>
        </w:rPr>
      </w:pPr>
    </w:p>
    <w:p w14:paraId="55226FDD" w14:textId="77777777" w:rsidR="00F41B80" w:rsidRPr="00F41B80" w:rsidRDefault="00F41B80" w:rsidP="00F41B80">
      <w:pPr>
        <w:rPr>
          <w:rStyle w:val="Heading6Char"/>
        </w:rPr>
      </w:pPr>
      <w:r w:rsidRPr="00F41B80">
        <w:rPr>
          <w:rStyle w:val="Heading6Char"/>
        </w:rPr>
        <w:t>Non-covalent interactions (NCIs) between metal and halogen atoms influence molecular and material stability and reactivity, facilitating the creation of new materials with specific properties and enhancing our understanding of molecular recognition [1]. Interactions between metals and halogens form two types of polar NCIs:semi-coordination bonds (sXBs) or halogen bonds (XBs), depending on the electron-rich and electron-deficient regions involved, with distinct electrophilic or nucleophilic characteristics [2].</w:t>
      </w:r>
    </w:p>
    <w:p w14:paraId="252A4FEC" w14:textId="2E93D98F" w:rsidR="00F41B80" w:rsidRPr="00F41B80" w:rsidRDefault="00F41B80" w:rsidP="00F41B80">
      <w:pPr>
        <w:rPr>
          <w:rStyle w:val="Heading6Char"/>
        </w:rPr>
      </w:pPr>
      <w:r w:rsidRPr="00F41B80">
        <w:rPr>
          <w:rStyle w:val="Heading6Char"/>
        </w:rPr>
        <w:t>A series of mixed-ligand silver(I) compounds containing benzoate (OBn) and neutral pyridyl ligands offers insight into various metal-involved interactions [3</w:t>
      </w:r>
      <w:r w:rsidR="0078514E">
        <w:rPr>
          <w:rStyle w:val="Heading6Char"/>
        </w:rPr>
        <w:t>, 4</w:t>
      </w:r>
      <w:r w:rsidRPr="00F41B80">
        <w:rPr>
          <w:rStyle w:val="Heading6Char"/>
        </w:rPr>
        <w:t xml:space="preserve">]. We assessed metal+···metal+, metal+···Caromatic and metal+··· X (where X=Br or I) interactions in crystal packing, using quantum theory of atoms in molecules (QTAIM) and natural bond orbital (NBO) analysis. The strength of these interactions followed the the order Ag+···I(C) &gt; Ag+···Ag+ &gt; Ag+···Br(C) &gt; Ag+···(C)aromatic. Bromine and iodine substituents enhance stability via Ag+···X(C) sXBs. </w:t>
      </w:r>
    </w:p>
    <w:p w14:paraId="6348D405" w14:textId="77777777" w:rsidR="00F41B80" w:rsidRDefault="00F41B80" w:rsidP="00F41B80">
      <w:pPr>
        <w:rPr>
          <w:rStyle w:val="Heading6Char"/>
        </w:rPr>
      </w:pPr>
      <w:r w:rsidRPr="00F41B80">
        <w:rPr>
          <w:rStyle w:val="Heading6Char"/>
        </w:rPr>
        <w:t>Crystal packing analysis of compounds with and without halogen substituents will also be presented to highlight the differences in molecular conformations and geometries observed.</w:t>
      </w:r>
    </w:p>
    <w:p w14:paraId="76924D7A" w14:textId="77777777" w:rsidR="00FA159D" w:rsidRPr="00F41B80" w:rsidRDefault="00FA159D" w:rsidP="00F41B80">
      <w:pPr>
        <w:rPr>
          <w:rStyle w:val="Heading6Char"/>
        </w:rPr>
      </w:pPr>
    </w:p>
    <w:p w14:paraId="49C9933D" w14:textId="2219E213" w:rsidR="00F41B80" w:rsidRPr="00F41B80" w:rsidRDefault="00B07D73" w:rsidP="00B07D73">
      <w:pPr>
        <w:jc w:val="center"/>
        <w:rPr>
          <w:lang w:val="en-US"/>
        </w:rPr>
      </w:pPr>
      <w:r>
        <w:rPr>
          <w:rFonts w:ascii="Arial Narrow" w:hAnsi="Arial Narrow"/>
          <w:noProof/>
          <w:lang w:val="en-ZA"/>
        </w:rPr>
        <w:drawing>
          <wp:inline distT="0" distB="0" distL="0" distR="0" wp14:anchorId="5602C0AD" wp14:editId="42A69B84">
            <wp:extent cx="3933825" cy="2227470"/>
            <wp:effectExtent l="0" t="0" r="0" b="1905"/>
            <wp:docPr id="393594287" name="Picture 1" descr="A group of molecules with white and red d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94287" name="Picture 1" descr="A group of molecules with white and red dots&#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50253" cy="2236772"/>
                    </a:xfrm>
                    <a:prstGeom prst="rect">
                      <a:avLst/>
                    </a:prstGeom>
                    <a:noFill/>
                  </pic:spPr>
                </pic:pic>
              </a:graphicData>
            </a:graphic>
          </wp:inline>
        </w:drawing>
      </w:r>
    </w:p>
    <w:p w14:paraId="6E6A20DE" w14:textId="77777777" w:rsidR="00FA159D" w:rsidRDefault="00FA159D" w:rsidP="00FA159D">
      <w:pPr>
        <w:pStyle w:val="Heading6"/>
      </w:pPr>
      <w:r w:rsidRPr="00FA159D">
        <w:rPr>
          <w:b/>
          <w:bCs w:val="0"/>
        </w:rPr>
        <w:t>Figure 1</w:t>
      </w:r>
      <w:r w:rsidRPr="00CA11E2">
        <w:t xml:space="preserve">. </w:t>
      </w:r>
      <w:r>
        <w:t xml:space="preserve">Crystal structures of compounds </w:t>
      </w:r>
      <w:r w:rsidRPr="00FA159D">
        <w:t>I-V</w:t>
      </w:r>
      <w:r>
        <w:t xml:space="preserve"> with atom labels. Ellipsoids drawn at 50% probability level.</w:t>
      </w:r>
    </w:p>
    <w:p w14:paraId="52814648" w14:textId="77777777" w:rsidR="00FA159D" w:rsidRPr="00FA159D" w:rsidRDefault="00FA159D" w:rsidP="00FA159D"/>
    <w:p w14:paraId="787BC6BA" w14:textId="77777777" w:rsidR="00FA159D" w:rsidRPr="007E0B38" w:rsidRDefault="00FA159D" w:rsidP="00FA159D">
      <w:pPr>
        <w:pStyle w:val="ICESAA-Refs-title"/>
        <w:spacing w:after="0"/>
      </w:pPr>
      <w:r>
        <w:t>REFERENCES</w:t>
      </w:r>
    </w:p>
    <w:p w14:paraId="3F83C4EE" w14:textId="77777777" w:rsidR="00FA159D" w:rsidRDefault="00FA159D" w:rsidP="00FA159D">
      <w:pPr>
        <w:pStyle w:val="Heading4"/>
      </w:pPr>
      <w:r w:rsidRPr="00CA11E2">
        <w:t>[</w:t>
      </w:r>
      <w:r>
        <w:t>1</w:t>
      </w:r>
      <w:r w:rsidRPr="00CA11E2">
        <w:t>]</w:t>
      </w:r>
      <w:r>
        <w:tab/>
        <w:t xml:space="preserve">F. Zapata, L. González, A. Caballero, A. Bastida, D. Bautista, P. Molina, </w:t>
      </w:r>
      <w:r>
        <w:rPr>
          <w:i/>
          <w:iCs/>
        </w:rPr>
        <w:t>J. Am. Chem. Soc.,</w:t>
      </w:r>
      <w:r>
        <w:rPr>
          <w:b/>
        </w:rPr>
        <w:t>2018</w:t>
      </w:r>
      <w:r>
        <w:t xml:space="preserve">, </w:t>
      </w:r>
      <w:r>
        <w:rPr>
          <w:i/>
          <w:iCs/>
        </w:rPr>
        <w:t>140</w:t>
      </w:r>
      <w:r>
        <w:t>, 2041-2045.</w:t>
      </w:r>
    </w:p>
    <w:p w14:paraId="3D26C5F0" w14:textId="77777777" w:rsidR="00FA159D" w:rsidRDefault="00FA159D" w:rsidP="00FA159D">
      <w:pPr>
        <w:pStyle w:val="Heading4"/>
      </w:pPr>
      <w:r>
        <w:t>[2]</w:t>
      </w:r>
      <w:r>
        <w:tab/>
        <w:t xml:space="preserve">Z.M. </w:t>
      </w:r>
      <w:proofErr w:type="spellStart"/>
      <w:r w:rsidRPr="00282326">
        <w:t>Bikbaeva</w:t>
      </w:r>
      <w:proofErr w:type="spellEnd"/>
      <w:r w:rsidRPr="00282326">
        <w:t xml:space="preserve">, </w:t>
      </w:r>
      <w:r>
        <w:t xml:space="preserve">D.M. </w:t>
      </w:r>
      <w:r w:rsidRPr="00282326">
        <w:t>Ivanov,</w:t>
      </w:r>
      <w:r>
        <w:t xml:space="preserve"> A.S.</w:t>
      </w:r>
      <w:r w:rsidRPr="00282326">
        <w:t xml:space="preserve"> Novikov, </w:t>
      </w:r>
      <w:r>
        <w:t>I.V.</w:t>
      </w:r>
      <w:r w:rsidRPr="00282326">
        <w:t xml:space="preserve"> Ananyev, </w:t>
      </w:r>
      <w:r>
        <w:t>N.A.</w:t>
      </w:r>
      <w:r w:rsidRPr="00282326">
        <w:t xml:space="preserve"> </w:t>
      </w:r>
      <w:proofErr w:type="spellStart"/>
      <w:r w:rsidRPr="00282326">
        <w:t>Bokach</w:t>
      </w:r>
      <w:proofErr w:type="spellEnd"/>
      <w:r w:rsidRPr="00282326">
        <w:t xml:space="preserve">, </w:t>
      </w:r>
      <w:r>
        <w:t>V.Y.</w:t>
      </w:r>
      <w:r w:rsidRPr="00282326">
        <w:t xml:space="preserve"> </w:t>
      </w:r>
      <w:proofErr w:type="gramStart"/>
      <w:r w:rsidRPr="00282326">
        <w:t>Kukushkin</w:t>
      </w:r>
      <w:r>
        <w:t>,</w:t>
      </w:r>
      <w:r w:rsidRPr="00282326">
        <w:t>.</w:t>
      </w:r>
      <w:proofErr w:type="gramEnd"/>
      <w:r w:rsidRPr="00282326">
        <w:t xml:space="preserve"> </w:t>
      </w:r>
      <w:proofErr w:type="spellStart"/>
      <w:r w:rsidRPr="00145475">
        <w:rPr>
          <w:i/>
          <w:iCs/>
        </w:rPr>
        <w:t>Inorg</w:t>
      </w:r>
      <w:proofErr w:type="spellEnd"/>
      <w:r w:rsidRPr="00145475">
        <w:rPr>
          <w:i/>
          <w:iCs/>
        </w:rPr>
        <w:t>. Chem</w:t>
      </w:r>
      <w:r w:rsidRPr="00282326">
        <w:t xml:space="preserve">. </w:t>
      </w:r>
      <w:r w:rsidRPr="00145475">
        <w:rPr>
          <w:b/>
        </w:rPr>
        <w:t>2017</w:t>
      </w:r>
      <w:r w:rsidRPr="00282326">
        <w:t>,</w:t>
      </w:r>
      <w:r w:rsidRPr="001F25C4">
        <w:t xml:space="preserve"> </w:t>
      </w:r>
      <w:r w:rsidRPr="00145475">
        <w:rPr>
          <w:i/>
          <w:iCs/>
        </w:rPr>
        <w:t>56</w:t>
      </w:r>
      <w:r w:rsidRPr="00282326">
        <w:t>,</w:t>
      </w:r>
      <w:r w:rsidRPr="00145475">
        <w:rPr>
          <w:i/>
          <w:iCs/>
        </w:rPr>
        <w:t xml:space="preserve"> 21</w:t>
      </w:r>
      <w:r w:rsidRPr="00282326">
        <w:t>, 13562–13578.</w:t>
      </w:r>
    </w:p>
    <w:p w14:paraId="13845C1C" w14:textId="2272E789" w:rsidR="00FA159D" w:rsidRDefault="00FA159D" w:rsidP="00FA159D">
      <w:pPr>
        <w:pStyle w:val="Heading4"/>
      </w:pPr>
      <w:r w:rsidRPr="00CA11E2">
        <w:t>[</w:t>
      </w:r>
      <w:r>
        <w:t>3]</w:t>
      </w:r>
      <w:r>
        <w:tab/>
        <w:t xml:space="preserve">T. K. Theunissen, C. Esterhuysen, S.A. Bourne, </w:t>
      </w:r>
      <w:proofErr w:type="spellStart"/>
      <w:r w:rsidR="004F5F2A">
        <w:rPr>
          <w:i/>
          <w:iCs/>
        </w:rPr>
        <w:t>Cryst</w:t>
      </w:r>
      <w:proofErr w:type="spellEnd"/>
      <w:r w:rsidR="004F5F2A">
        <w:rPr>
          <w:i/>
          <w:iCs/>
        </w:rPr>
        <w:t>. Growth Des.</w:t>
      </w:r>
      <w:r w:rsidR="004F5F2A">
        <w:t xml:space="preserve">, </w:t>
      </w:r>
      <w:r w:rsidR="0078514E">
        <w:rPr>
          <w:b/>
          <w:bCs w:val="0"/>
        </w:rPr>
        <w:t>2024</w:t>
      </w:r>
      <w:r w:rsidR="0078514E">
        <w:t xml:space="preserve">, </w:t>
      </w:r>
      <w:r w:rsidR="0078514E">
        <w:rPr>
          <w:i/>
          <w:iCs/>
        </w:rPr>
        <w:t>24</w:t>
      </w:r>
      <w:r w:rsidR="0078514E">
        <w:t>, 9254-9265.</w:t>
      </w:r>
    </w:p>
    <w:p w14:paraId="2D3F8562" w14:textId="3C46AE2F" w:rsidR="0078514E" w:rsidRPr="00386BC4" w:rsidRDefault="0078514E" w:rsidP="00386BC4">
      <w:pPr>
        <w:pStyle w:val="Heading4"/>
        <w:rPr>
          <w:lang w:val="fr-FR"/>
        </w:rPr>
      </w:pPr>
      <w:r w:rsidRPr="00386BC4">
        <w:rPr>
          <w:lang w:val="fr-FR"/>
        </w:rPr>
        <w:t>[4]</w:t>
      </w:r>
      <w:r w:rsidRPr="00386BC4">
        <w:rPr>
          <w:lang w:val="fr-FR"/>
        </w:rPr>
        <w:tab/>
        <w:t xml:space="preserve">V. la </w:t>
      </w:r>
      <w:proofErr w:type="gramStart"/>
      <w:r w:rsidRPr="00386BC4">
        <w:rPr>
          <w:lang w:val="fr-FR"/>
        </w:rPr>
        <w:t>Gorc</w:t>
      </w:r>
      <w:r w:rsidR="00386BC4">
        <w:rPr>
          <w:lang w:val="fr-FR"/>
        </w:rPr>
        <w:t>é</w:t>
      </w:r>
      <w:r w:rsidRPr="00386BC4">
        <w:rPr>
          <w:lang w:val="fr-FR"/>
        </w:rPr>
        <w:t xml:space="preserve"> ,</w:t>
      </w:r>
      <w:proofErr w:type="gramEnd"/>
      <w:r w:rsidRPr="00386BC4">
        <w:rPr>
          <w:lang w:val="fr-FR"/>
        </w:rPr>
        <w:t xml:space="preserve">T.K. Theunissen, </w:t>
      </w:r>
      <w:r w:rsidR="00386BC4">
        <w:rPr>
          <w:lang w:val="fr-FR"/>
        </w:rPr>
        <w:t xml:space="preserve">S. A. Bourne, </w:t>
      </w:r>
      <w:proofErr w:type="spellStart"/>
      <w:r w:rsidR="00386BC4">
        <w:rPr>
          <w:lang w:val="fr-FR"/>
        </w:rPr>
        <w:t>manuscript</w:t>
      </w:r>
      <w:proofErr w:type="spellEnd"/>
      <w:r w:rsidR="00386BC4">
        <w:rPr>
          <w:lang w:val="fr-FR"/>
        </w:rPr>
        <w:t xml:space="preserve"> </w:t>
      </w:r>
      <w:proofErr w:type="spellStart"/>
      <w:r w:rsidR="00386BC4">
        <w:rPr>
          <w:lang w:val="fr-FR"/>
        </w:rPr>
        <w:t>under</w:t>
      </w:r>
      <w:proofErr w:type="spellEnd"/>
      <w:r w:rsidR="00386BC4">
        <w:rPr>
          <w:lang w:val="fr-FR"/>
        </w:rPr>
        <w:t xml:space="preserve"> </w:t>
      </w:r>
      <w:proofErr w:type="spellStart"/>
      <w:r w:rsidR="00386BC4">
        <w:rPr>
          <w:lang w:val="fr-FR"/>
        </w:rPr>
        <w:t>review</w:t>
      </w:r>
      <w:proofErr w:type="spellEnd"/>
      <w:r w:rsidR="00386BC4">
        <w:rPr>
          <w:lang w:val="fr-FR"/>
        </w:rPr>
        <w:t>.</w:t>
      </w:r>
    </w:p>
    <w:sectPr w:rsidR="0078514E" w:rsidRPr="00386BC4">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2C906" w14:textId="77777777" w:rsidR="00FA159D" w:rsidRDefault="00FA159D">
      <w:pPr>
        <w:spacing w:after="0"/>
      </w:pPr>
      <w:r>
        <w:separator/>
      </w:r>
    </w:p>
  </w:endnote>
  <w:endnote w:type="continuationSeparator" w:id="0">
    <w:p w14:paraId="10ACBCEE" w14:textId="77777777" w:rsidR="00FA159D" w:rsidRDefault="00FA15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3439C" w14:textId="77777777" w:rsidR="00B155D8" w:rsidRDefault="00FA159D">
    <w:pPr>
      <w:pStyle w:val="Footer"/>
    </w:pPr>
    <w:r>
      <w:t xml:space="preserve">Acta </w:t>
    </w:r>
    <w:proofErr w:type="spellStart"/>
    <w:r>
      <w:t>Cryst</w:t>
    </w:r>
    <w:proofErr w:type="spellEnd"/>
    <w:r>
      <w:t>. (2025). A81, e1</w:t>
    </w:r>
  </w:p>
  <w:p w14:paraId="75559C5F" w14:textId="77777777" w:rsidR="00B155D8" w:rsidRDefault="00B155D8">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C361B" w14:textId="77777777" w:rsidR="00FA159D" w:rsidRDefault="00FA159D">
      <w:pPr>
        <w:spacing w:after="0"/>
      </w:pPr>
      <w:r>
        <w:separator/>
      </w:r>
    </w:p>
  </w:footnote>
  <w:footnote w:type="continuationSeparator" w:id="0">
    <w:p w14:paraId="0438DF6A" w14:textId="77777777" w:rsidR="00FA159D" w:rsidRDefault="00FA15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B756C" w14:textId="77777777" w:rsidR="00B155D8" w:rsidRDefault="00FA159D">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5D8"/>
    <w:rsid w:val="00174B9E"/>
    <w:rsid w:val="00386BC4"/>
    <w:rsid w:val="00436B0E"/>
    <w:rsid w:val="004F5F2A"/>
    <w:rsid w:val="00561252"/>
    <w:rsid w:val="0078514E"/>
    <w:rsid w:val="00946058"/>
    <w:rsid w:val="00B07D73"/>
    <w:rsid w:val="00B155D8"/>
    <w:rsid w:val="00B360E3"/>
    <w:rsid w:val="00C70F36"/>
    <w:rsid w:val="00F41B80"/>
    <w:rsid w:val="00FA159D"/>
    <w:rsid w:val="00FA262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F15EA"/>
  <w15:docId w15:val="{C1FEDB6C-F37C-4C90-91CC-B03DA0E9E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ESAA-Affiliation">
    <w:name w:val="ICESAA-Affiliation"/>
    <w:basedOn w:val="Normal"/>
    <w:link w:val="ICESAA-AffiliationChar"/>
    <w:qFormat/>
    <w:rsid w:val="00B360E3"/>
    <w:pPr>
      <w:suppressAutoHyphens w:val="0"/>
      <w:spacing w:after="0"/>
      <w:jc w:val="center"/>
    </w:pPr>
    <w:rPr>
      <w:rFonts w:eastAsiaTheme="minorHAnsi"/>
      <w:i/>
      <w:sz w:val="22"/>
      <w:szCs w:val="24"/>
      <w:lang w:val="en-US" w:eastAsia="en-US"/>
    </w:rPr>
  </w:style>
  <w:style w:type="paragraph" w:customStyle="1" w:styleId="ICESAA-Email">
    <w:name w:val="ICESAA-Email"/>
    <w:basedOn w:val="Normal"/>
    <w:link w:val="ICESAA-EmailChar"/>
    <w:qFormat/>
    <w:rsid w:val="00B360E3"/>
    <w:pPr>
      <w:suppressAutoHyphens w:val="0"/>
      <w:spacing w:after="0"/>
      <w:jc w:val="center"/>
    </w:pPr>
    <w:rPr>
      <w:rFonts w:eastAsiaTheme="minorHAnsi"/>
      <w:i/>
      <w:sz w:val="22"/>
      <w:szCs w:val="24"/>
      <w:lang w:val="en-US" w:eastAsia="en-US"/>
    </w:rPr>
  </w:style>
  <w:style w:type="character" w:customStyle="1" w:styleId="ICESAA-AffiliationChar">
    <w:name w:val="ICESAA-Affiliation Char"/>
    <w:basedOn w:val="DefaultParagraphFont"/>
    <w:link w:val="ICESAA-Affiliation"/>
    <w:rsid w:val="00B360E3"/>
    <w:rPr>
      <w:rFonts w:eastAsiaTheme="minorHAnsi"/>
      <w:i/>
      <w:sz w:val="22"/>
      <w:szCs w:val="24"/>
      <w:lang w:val="en-US" w:eastAsia="en-US"/>
    </w:rPr>
  </w:style>
  <w:style w:type="character" w:customStyle="1" w:styleId="ICESAA-EmailChar">
    <w:name w:val="ICESAA-Email Char"/>
    <w:basedOn w:val="DefaultParagraphFont"/>
    <w:link w:val="ICESAA-Email"/>
    <w:rsid w:val="00B360E3"/>
    <w:rPr>
      <w:rFonts w:eastAsiaTheme="minorHAnsi"/>
      <w:i/>
      <w:sz w:val="22"/>
      <w:szCs w:val="24"/>
      <w:lang w:val="en-US" w:eastAsia="en-US"/>
    </w:rPr>
  </w:style>
  <w:style w:type="paragraph" w:customStyle="1" w:styleId="ICESAA-Text">
    <w:name w:val="ICESAA-Text"/>
    <w:basedOn w:val="Normal"/>
    <w:link w:val="ICESAA-TextChar"/>
    <w:qFormat/>
    <w:rsid w:val="00F41B80"/>
    <w:pPr>
      <w:suppressAutoHyphens w:val="0"/>
      <w:spacing w:line="264" w:lineRule="auto"/>
    </w:pPr>
    <w:rPr>
      <w:rFonts w:eastAsiaTheme="minorHAnsi"/>
      <w:sz w:val="24"/>
      <w:szCs w:val="24"/>
      <w:lang w:val="en-US" w:eastAsia="en-US"/>
    </w:rPr>
  </w:style>
  <w:style w:type="character" w:customStyle="1" w:styleId="ICESAA-TextChar">
    <w:name w:val="ICESAA-Text Char"/>
    <w:basedOn w:val="DefaultParagraphFont"/>
    <w:link w:val="ICESAA-Text"/>
    <w:rsid w:val="00F41B80"/>
    <w:rPr>
      <w:rFonts w:eastAsiaTheme="minorHAnsi"/>
      <w:sz w:val="24"/>
      <w:szCs w:val="24"/>
      <w:lang w:val="en-US" w:eastAsia="en-US"/>
    </w:rPr>
  </w:style>
  <w:style w:type="paragraph" w:customStyle="1" w:styleId="ICESAA-Refs-title">
    <w:name w:val="ICESAA-Refs-title"/>
    <w:basedOn w:val="Normal"/>
    <w:link w:val="ICESAA-Refs-titleChar"/>
    <w:qFormat/>
    <w:rsid w:val="00FA159D"/>
    <w:pPr>
      <w:suppressAutoHyphens w:val="0"/>
      <w:jc w:val="left"/>
    </w:pPr>
    <w:rPr>
      <w:rFonts w:eastAsiaTheme="minorHAnsi"/>
      <w:b/>
      <w:sz w:val="24"/>
      <w:lang w:val="es-ES_tradnl" w:eastAsia="en-US"/>
    </w:rPr>
  </w:style>
  <w:style w:type="paragraph" w:customStyle="1" w:styleId="ICESAA-Refs">
    <w:name w:val="ICESAA-Refs"/>
    <w:basedOn w:val="Normal"/>
    <w:link w:val="ICESAA-RefsChar"/>
    <w:qFormat/>
    <w:rsid w:val="00FA159D"/>
    <w:pPr>
      <w:tabs>
        <w:tab w:val="left" w:pos="400"/>
      </w:tabs>
      <w:suppressAutoHyphens w:val="0"/>
      <w:spacing w:after="80"/>
      <w:jc w:val="left"/>
    </w:pPr>
    <w:rPr>
      <w:rFonts w:eastAsiaTheme="minorHAnsi"/>
      <w:lang w:val="es-ES_tradnl" w:eastAsia="en-US"/>
    </w:rPr>
  </w:style>
  <w:style w:type="character" w:customStyle="1" w:styleId="ICESAA-Refs-titleChar">
    <w:name w:val="ICESAA-Refs-title Char"/>
    <w:basedOn w:val="DefaultParagraphFont"/>
    <w:link w:val="ICESAA-Refs-title"/>
    <w:rsid w:val="00FA159D"/>
    <w:rPr>
      <w:rFonts w:eastAsiaTheme="minorHAnsi"/>
      <w:b/>
      <w:sz w:val="24"/>
      <w:lang w:val="es-ES_tradnl" w:eastAsia="en-US"/>
    </w:rPr>
  </w:style>
  <w:style w:type="character" w:customStyle="1" w:styleId="ICESAA-RefsChar">
    <w:name w:val="ICESAA-Refs Char"/>
    <w:basedOn w:val="DefaultParagraphFont"/>
    <w:link w:val="ICESAA-Refs"/>
    <w:rsid w:val="00FA159D"/>
    <w:rPr>
      <w:rFonts w:eastAsiaTheme="minorHAnsi"/>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328</Words>
  <Characters>1873</Characters>
  <Application>Microsoft Office Word</Application>
  <DocSecurity>0</DocSecurity>
  <Lines>15</Lines>
  <Paragraphs>4</Paragraphs>
  <ScaleCrop>false</ScaleCrop>
  <Company>MFF UK</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Susan Bourne</cp:lastModifiedBy>
  <cp:revision>12</cp:revision>
  <dcterms:created xsi:type="dcterms:W3CDTF">2025-04-16T12:25:00Z</dcterms:created>
  <dcterms:modified xsi:type="dcterms:W3CDTF">2025-04-24T11:07:00Z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