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3A1" w:rsidRDefault="0016572C" w:rsidP="0020793B">
      <w:pPr>
        <w:pStyle w:val="Heading1"/>
      </w:pPr>
      <w:r>
        <w:t xml:space="preserve">Developing Electron Diffraction Methods to Probe Oxidation States in </w:t>
      </w:r>
      <w:proofErr w:type="spellStart"/>
      <w:r>
        <w:t>Metalloenzymes</w:t>
      </w:r>
      <w:proofErr w:type="spellEnd"/>
    </w:p>
    <w:p w:rsidR="00C862D5" w:rsidRPr="0041769D" w:rsidRDefault="00C862D5" w:rsidP="00C862D5">
      <w:pPr>
        <w:pStyle w:val="Heading2"/>
        <w:rPr>
          <w:vertAlign w:val="superscript"/>
          <w:lang w:val="en-US"/>
        </w:rPr>
      </w:pPr>
      <w:r w:rsidRPr="0041769D">
        <w:rPr>
          <w:lang w:val="en-US"/>
        </w:rPr>
        <w:t>Laura Pacoste</w:t>
      </w:r>
      <w:r>
        <w:rPr>
          <w:vertAlign w:val="superscript"/>
          <w:lang w:val="en-US"/>
        </w:rPr>
        <w:t>1</w:t>
      </w:r>
      <w:r w:rsidRPr="0041769D">
        <w:rPr>
          <w:lang w:val="en-US"/>
        </w:rPr>
        <w:t>, Rohit Kumar</w:t>
      </w:r>
      <w:r>
        <w:rPr>
          <w:vertAlign w:val="superscript"/>
          <w:lang w:val="en-US"/>
        </w:rPr>
        <w:t>2</w:t>
      </w:r>
      <w:r w:rsidRPr="0041769D">
        <w:rPr>
          <w:lang w:val="en-US"/>
        </w:rPr>
        <w:t>, Viljar Femoen</w:t>
      </w:r>
      <w:r>
        <w:rPr>
          <w:vertAlign w:val="superscript"/>
          <w:lang w:val="en-US"/>
        </w:rPr>
        <w:t>1</w:t>
      </w:r>
      <w:r w:rsidRPr="0041769D">
        <w:rPr>
          <w:lang w:val="en-US"/>
        </w:rPr>
        <w:t>, Vladislav Ignatev</w:t>
      </w:r>
      <w:r>
        <w:rPr>
          <w:vertAlign w:val="superscript"/>
          <w:lang w:val="en-US"/>
        </w:rPr>
        <w:t>3</w:t>
      </w:r>
      <w:r w:rsidRPr="0041769D">
        <w:rPr>
          <w:lang w:val="en-US"/>
        </w:rPr>
        <w:t>, Dorothee Liebschner</w:t>
      </w:r>
      <w:r>
        <w:rPr>
          <w:vertAlign w:val="superscript"/>
          <w:lang w:val="en-US"/>
        </w:rPr>
        <w:t>4</w:t>
      </w:r>
      <w:r w:rsidRPr="0041769D">
        <w:rPr>
          <w:lang w:val="en-US"/>
        </w:rPr>
        <w:t>, Pavel Afonine</w:t>
      </w:r>
      <w:r>
        <w:rPr>
          <w:vertAlign w:val="superscript"/>
          <w:lang w:val="en-US"/>
        </w:rPr>
        <w:t>4</w:t>
      </w:r>
      <w:r w:rsidRPr="0041769D">
        <w:rPr>
          <w:lang w:val="en-US"/>
        </w:rPr>
        <w:t>, Billy Poon</w:t>
      </w:r>
      <w:r>
        <w:rPr>
          <w:vertAlign w:val="superscript"/>
          <w:lang w:val="en-US"/>
        </w:rPr>
        <w:t>4</w:t>
      </w:r>
      <w:r w:rsidRPr="0041769D">
        <w:rPr>
          <w:lang w:val="en-US"/>
        </w:rPr>
        <w:t>, Michał Chodkiewicz</w:t>
      </w:r>
      <w:r>
        <w:rPr>
          <w:vertAlign w:val="superscript"/>
          <w:lang w:val="en-US"/>
        </w:rPr>
        <w:t>3</w:t>
      </w:r>
      <w:r w:rsidRPr="0041769D">
        <w:rPr>
          <w:lang w:val="en-US"/>
        </w:rPr>
        <w:t>, Vivek Srinivas</w:t>
      </w:r>
      <w:r>
        <w:rPr>
          <w:vertAlign w:val="superscript"/>
          <w:lang w:val="en-US"/>
        </w:rPr>
        <w:t>2</w:t>
      </w:r>
      <w:r w:rsidRPr="0041769D">
        <w:rPr>
          <w:lang w:val="en-US"/>
        </w:rPr>
        <w:t>, Buster Blomberg</w:t>
      </w:r>
      <w:r>
        <w:rPr>
          <w:vertAlign w:val="superscript"/>
          <w:lang w:val="en-US"/>
        </w:rPr>
        <w:t>1</w:t>
      </w:r>
      <w:r w:rsidRPr="0041769D">
        <w:rPr>
          <w:lang w:val="en-US"/>
        </w:rPr>
        <w:t>, Hugo Lebrette</w:t>
      </w:r>
      <w:r>
        <w:rPr>
          <w:vertAlign w:val="superscript"/>
          <w:lang w:val="en-US"/>
        </w:rPr>
        <w:t>2</w:t>
      </w:r>
      <w:proofErr w:type="gramStart"/>
      <w:r>
        <w:rPr>
          <w:vertAlign w:val="superscript"/>
          <w:lang w:val="en-US"/>
        </w:rPr>
        <w:t>,5</w:t>
      </w:r>
      <w:proofErr w:type="gramEnd"/>
      <w:r w:rsidRPr="0041769D">
        <w:rPr>
          <w:lang w:val="en-US"/>
        </w:rPr>
        <w:t>, Hongyi Xu</w:t>
      </w:r>
      <w:r>
        <w:rPr>
          <w:vertAlign w:val="superscript"/>
          <w:lang w:val="en-US"/>
        </w:rPr>
        <w:t>1</w:t>
      </w:r>
      <w:r w:rsidRPr="0041769D">
        <w:rPr>
          <w:lang w:val="en-US"/>
        </w:rPr>
        <w:t>, Gerhard Hofer</w:t>
      </w:r>
      <w:r>
        <w:rPr>
          <w:vertAlign w:val="superscript"/>
          <w:lang w:val="en-US"/>
        </w:rPr>
        <w:t>1</w:t>
      </w:r>
      <w:r w:rsidRPr="0041769D">
        <w:rPr>
          <w:lang w:val="en-US"/>
        </w:rPr>
        <w:t>, Paulina Maria Dominiak</w:t>
      </w:r>
      <w:r>
        <w:rPr>
          <w:vertAlign w:val="superscript"/>
          <w:lang w:val="en-US"/>
        </w:rPr>
        <w:t>3</w:t>
      </w:r>
      <w:r w:rsidRPr="0041769D">
        <w:rPr>
          <w:lang w:val="en-US"/>
        </w:rPr>
        <w:t>, Martin Högbom</w:t>
      </w:r>
      <w:r>
        <w:rPr>
          <w:vertAlign w:val="superscript"/>
          <w:lang w:val="en-US"/>
        </w:rPr>
        <w:t>2</w:t>
      </w:r>
      <w:r w:rsidRPr="0041769D">
        <w:rPr>
          <w:lang w:val="en-US"/>
        </w:rPr>
        <w:t>, Xiaodong Zou</w:t>
      </w:r>
      <w:r>
        <w:rPr>
          <w:vertAlign w:val="superscript"/>
          <w:lang w:val="en-US"/>
        </w:rPr>
        <w:t>1</w:t>
      </w:r>
    </w:p>
    <w:p w:rsidR="00C862D5" w:rsidRDefault="00C862D5" w:rsidP="00C862D5">
      <w:pPr>
        <w:pStyle w:val="Heading3"/>
        <w:rPr>
          <w:lang w:val="en-US"/>
        </w:rPr>
      </w:pPr>
      <w:r>
        <w:rPr>
          <w:vertAlign w:val="superscript"/>
          <w:lang w:val="en-US"/>
        </w:rPr>
        <w:t>1</w:t>
      </w:r>
      <w:r w:rsidRPr="0041769D">
        <w:rPr>
          <w:lang w:val="en-US"/>
        </w:rPr>
        <w:t>Department of Chemistry, Stockhol</w:t>
      </w:r>
      <w:r>
        <w:rPr>
          <w:lang w:val="en-US"/>
        </w:rPr>
        <w:t xml:space="preserve">m University, Stockholm, Sweden, </w:t>
      </w:r>
      <w:r>
        <w:rPr>
          <w:vertAlign w:val="superscript"/>
          <w:lang w:val="en-US"/>
        </w:rPr>
        <w:t>2</w:t>
      </w:r>
      <w:r w:rsidRPr="0041769D">
        <w:rPr>
          <w:vertAlign w:val="superscript"/>
          <w:lang w:val="en-US"/>
        </w:rPr>
        <w:t xml:space="preserve"> </w:t>
      </w:r>
      <w:r w:rsidRPr="0041769D">
        <w:rPr>
          <w:lang w:val="en-US"/>
        </w:rPr>
        <w:t>Department of Biochemistry and Biophysics, Stockhol</w:t>
      </w:r>
      <w:r>
        <w:rPr>
          <w:lang w:val="en-US"/>
        </w:rPr>
        <w:t xml:space="preserve">m University, Stockholm, Sweden, </w:t>
      </w:r>
      <w:r>
        <w:rPr>
          <w:vertAlign w:val="superscript"/>
          <w:lang w:val="en-US"/>
        </w:rPr>
        <w:t>3</w:t>
      </w:r>
      <w:r w:rsidRPr="0041769D">
        <w:rPr>
          <w:lang w:val="en-US"/>
        </w:rPr>
        <w:t>Biological and Chemical Research Center, Faculty of Chemistry, Unive</w:t>
      </w:r>
      <w:r>
        <w:rPr>
          <w:lang w:val="en-US"/>
        </w:rPr>
        <w:t xml:space="preserve">rsity of Warsaw, Warsaw, Poland, </w:t>
      </w:r>
      <w:r w:rsidRPr="00C862D5">
        <w:rPr>
          <w:vertAlign w:val="superscript"/>
          <w:lang w:val="en-US"/>
        </w:rPr>
        <w:t>4</w:t>
      </w:r>
      <w:r w:rsidRPr="0041769D">
        <w:rPr>
          <w:lang w:val="en-US"/>
        </w:rPr>
        <w:t>Molecular Biophysics and Integrated Bioimaging Division, Lawrence Berkeley National Laboratory, Ber</w:t>
      </w:r>
      <w:r>
        <w:rPr>
          <w:lang w:val="en-US"/>
        </w:rPr>
        <w:t>keley, CA, USA</w:t>
      </w:r>
      <w:r>
        <w:rPr>
          <w:vertAlign w:val="superscript"/>
          <w:lang w:val="en-US"/>
        </w:rPr>
        <w:t xml:space="preserve"> 5</w:t>
      </w:r>
      <w:r w:rsidRPr="0041769D">
        <w:rPr>
          <w:lang w:val="en-US"/>
        </w:rPr>
        <w:t xml:space="preserve">Laboratoire de </w:t>
      </w:r>
      <w:proofErr w:type="spellStart"/>
      <w:r w:rsidRPr="0041769D">
        <w:rPr>
          <w:lang w:val="en-US"/>
        </w:rPr>
        <w:t>Microbiologie</w:t>
      </w:r>
      <w:proofErr w:type="spellEnd"/>
      <w:r w:rsidRPr="0041769D">
        <w:rPr>
          <w:lang w:val="en-US"/>
        </w:rPr>
        <w:t xml:space="preserve"> et </w:t>
      </w:r>
      <w:proofErr w:type="spellStart"/>
      <w:r w:rsidRPr="0041769D">
        <w:rPr>
          <w:lang w:val="en-US"/>
        </w:rPr>
        <w:t>Génétique</w:t>
      </w:r>
      <w:proofErr w:type="spellEnd"/>
      <w:r w:rsidRPr="0041769D">
        <w:rPr>
          <w:lang w:val="en-US"/>
        </w:rPr>
        <w:t xml:space="preserve"> </w:t>
      </w:r>
      <w:proofErr w:type="spellStart"/>
      <w:r w:rsidRPr="0041769D">
        <w:rPr>
          <w:lang w:val="en-US"/>
        </w:rPr>
        <w:t>Moléculaires</w:t>
      </w:r>
      <w:proofErr w:type="spellEnd"/>
      <w:r w:rsidRPr="0041769D">
        <w:rPr>
          <w:lang w:val="en-US"/>
        </w:rPr>
        <w:t xml:space="preserve">, Centre de </w:t>
      </w:r>
      <w:proofErr w:type="spellStart"/>
      <w:r w:rsidRPr="0041769D">
        <w:rPr>
          <w:lang w:val="en-US"/>
        </w:rPr>
        <w:t>Biologie</w:t>
      </w:r>
      <w:proofErr w:type="spellEnd"/>
      <w:r w:rsidRPr="0041769D">
        <w:rPr>
          <w:lang w:val="en-US"/>
        </w:rPr>
        <w:t xml:space="preserve"> </w:t>
      </w:r>
      <w:proofErr w:type="spellStart"/>
      <w:r w:rsidRPr="0041769D">
        <w:rPr>
          <w:lang w:val="en-US"/>
        </w:rPr>
        <w:t>Intégrative,CNRS</w:t>
      </w:r>
      <w:proofErr w:type="spellEnd"/>
      <w:r w:rsidRPr="0041769D">
        <w:rPr>
          <w:lang w:val="en-US"/>
        </w:rPr>
        <w:t xml:space="preserve">, </w:t>
      </w:r>
      <w:proofErr w:type="spellStart"/>
      <w:r w:rsidRPr="0041769D">
        <w:rPr>
          <w:lang w:val="en-US"/>
        </w:rPr>
        <w:t>Université</w:t>
      </w:r>
      <w:proofErr w:type="spellEnd"/>
      <w:r w:rsidRPr="0041769D">
        <w:rPr>
          <w:lang w:val="en-US"/>
        </w:rPr>
        <w:t xml:space="preserve"> Toulouse III, Toulouse, France.</w:t>
      </w:r>
    </w:p>
    <w:p w:rsidR="00C862D5" w:rsidRPr="00C862D5" w:rsidRDefault="00C862D5" w:rsidP="00C862D5">
      <w:pPr>
        <w:pStyle w:val="Heading3"/>
        <w:rPr>
          <w:lang w:val="en-US"/>
        </w:rPr>
      </w:pPr>
      <w:r>
        <w:rPr>
          <w:lang w:val="en-US"/>
        </w:rPr>
        <w:t>E-mail of corresponding author: Laura.pacoste@su.se</w:t>
      </w:r>
    </w:p>
    <w:p w:rsidR="007F53A1" w:rsidRDefault="00B668BA">
      <w:pPr>
        <w:pStyle w:val="Heading3"/>
        <w:rPr>
          <w:sz w:val="18"/>
          <w:szCs w:val="18"/>
        </w:rPr>
      </w:pPr>
      <w:r>
        <w:rPr>
          <w:lang w:eastAsia="de-DE"/>
        </w:rPr>
        <w:br/>
      </w:r>
    </w:p>
    <w:p w:rsidR="0016572C" w:rsidRPr="0020793B" w:rsidRDefault="0016572C" w:rsidP="00C862D5">
      <w:pPr>
        <w:pStyle w:val="Body"/>
        <w:rPr>
          <w:sz w:val="20"/>
          <w:lang w:val="en-US"/>
        </w:rPr>
      </w:pPr>
      <w:r w:rsidRPr="0020793B">
        <w:rPr>
          <w:sz w:val="20"/>
          <w:lang w:val="en-US"/>
        </w:rPr>
        <w:t>Understanding oxidation state (OS) variations in enzyme metal-ion cofactors is essential for elucidating enzymatic mechanisms. While traditional spectroscopic techniques can be used to determine oxidation states in materials, they lack spatial resolution. Electron diffraction techniques, such as three-dimensional electron diffraction (3D ED/MicroED) and serial electron diffraction (</w:t>
      </w:r>
      <w:proofErr w:type="spellStart"/>
      <w:r w:rsidRPr="0020793B">
        <w:rPr>
          <w:sz w:val="20"/>
          <w:lang w:val="en-US"/>
        </w:rPr>
        <w:t>SerialED</w:t>
      </w:r>
      <w:proofErr w:type="spellEnd"/>
      <w:r w:rsidRPr="0020793B">
        <w:rPr>
          <w:sz w:val="20"/>
          <w:lang w:val="en-US"/>
        </w:rPr>
        <w:t>), offer unique opportunities for OS determination with structural resolution by probing the electrostatic potential. However, accurately inferring OS from electrostatic potential maps remains challenging due to limitations in data collection and processing protocols, as well as constraints in available atomic scattering models used for refinement.</w:t>
      </w:r>
    </w:p>
    <w:p w:rsidR="00C862D5" w:rsidRPr="0020793B" w:rsidRDefault="00C862D5" w:rsidP="00C862D5">
      <w:pPr>
        <w:pStyle w:val="Body"/>
        <w:rPr>
          <w:sz w:val="20"/>
          <w:lang w:val="en-US"/>
        </w:rPr>
      </w:pPr>
      <w:r w:rsidRPr="0020793B">
        <w:rPr>
          <w:sz w:val="20"/>
          <w:lang w:val="en-US"/>
        </w:rPr>
        <w:t>To study the impact of different atomic scattering models, both independent atom model (IAM) and transferable aspherical atom model (TAAM)</w:t>
      </w:r>
      <w:r w:rsidR="00F15A20">
        <w:rPr>
          <w:sz w:val="20"/>
          <w:lang w:val="en-US"/>
        </w:rPr>
        <w:t xml:space="preserve"> based on the MATTS databank</w:t>
      </w:r>
      <w:r w:rsidR="00F15A20">
        <w:rPr>
          <w:sz w:val="20"/>
          <w:lang w:val="en-US"/>
        </w:rPr>
        <w:fldChar w:fldCharType="begin"/>
      </w:r>
      <w:r w:rsidR="00F15A20">
        <w:rPr>
          <w:sz w:val="20"/>
          <w:lang w:val="en-US"/>
        </w:rPr>
        <w:instrText xml:space="preserve"> ADDIN ZOTERO_ITEM CSL_CITATION {"citationID":"O5YYjtd3","properties":{"formattedCitation":"[1\\uc0\\u8211{}3]","plainCitation":"[1–3]","noteIndex":0},"citationItems":[{"id":8784,"uris":["http://zotero.org/users/8853254/items/FU8GK56X"],"itemData":{"id":8784,"type":"article-journal","abstract":"The transferable aspherical pseudoatom data bank, UBDB2018, is extended with over 130 new atom types present in small and biological molecules of great importance in biology and chemistry. UBDB2018 can be applied either as a source of aspherical atomic scattering factors in a standard X-ray experiment (dmin </w:instrText>
      </w:r>
      <w:r w:rsidR="00F15A20">
        <w:rPr>
          <w:rFonts w:ascii="Cambria Math" w:hAnsi="Cambria Math" w:cs="Cambria Math"/>
          <w:sz w:val="20"/>
          <w:lang w:val="en-US"/>
        </w:rPr>
        <w:instrText>≃</w:instrText>
      </w:r>
      <w:r w:rsidR="00F15A20">
        <w:rPr>
          <w:sz w:val="20"/>
          <w:lang w:val="en-US"/>
        </w:rPr>
        <w:instrText xml:space="preserve"> 0.8 Å) instead of the independent atom model (IAM), and can therefore enhance the final crystal structure geometry and refinement parameters; or as a tool to reconstruct the molecular charge-density distribution and derive the electrostatic properties of chemical systems for which 3D structural data are available. The extended data bank has been extensively tested, with the focus being on the accuracy of the molecular electrostatic potential computed for important drug-like molecules, namely the HIV-1 protease inhibitors. The UBDB allows the reconstruction of the reference B3LYP/6-31G** potentials, with a root-mean-squared error of 0.015 e bohr−1 computed for entire potential grids which span values from ca 200 e bohr−1 to ca −0.1 e bohr−1 and encompass both the inside and outside regions of a molecule. UBDB2018 is shown to be applicable to enhancing the physical meaning of the molecular electrostatic potential descriptors used to construct predictive quantitative structure–activity relationship/quantitative structure–property relationship (QSAR/QSPR) models for drug discovery studies. In addition, it is suggested that electron structure factors computed from UBDB2018 may significantly improve the interpretation of electrostatic potential maps measured experimentally by means of electron diffraction or single-particle cryo-EM methods.","container-title":"Acta Crystallographica Section A: Foundations and Advances","DOI":"10.1107/S2053273319000482","ISSN":"2053-2733","issue":"2","journalAbbreviation":"Acta Cryst A","language":"en","note":"publisher: International Union of Crystallography","page":"398-408","source":"journals.iucr.org","title":"Extension of the transferable aspherical pseudoatom data bank for the comparison of molecular electrostatic potentials in structure–activity studies","volume":"75","author":[{"family":"Kumar","given":"P."},{"family":"Gruza","given":"B."},{"family":"Bojarowski","given":"S. A."},{"family":"Dominiak","given":"P. M."}],"issued":{"date-parts":[["2019",3,1]]}}},{"id":8634,"uris":["http://zotero.org/users/8853254/items/WP4BFVZB"],"itemData":{"id":8634,"type":"article-journal","abstract":"A fast and accurate operational model of electron density is crucial in many scientific disciplines including crystallography, molecular biology, pharmaceutical, and structural chemistry. In quantum crystallography, the aspherical refinement of crystal structures is becoming increasingly popular because of its accurate description in terms of physically meaningful properties. The transferable aspherical atom model (TAAM) is quick and precise, though it requires a robust algorithm for atom typing and coverage of the most popular atom types present in small organic molecules. Thus, the University at Buffalo Databank (UBDB) has been renamed to the Multipolar Atom Types from Theory and Statistical clustering (MATTS) data bank, broadened, restructured, and implemented into the software DiSCaMB with 651 atom types obtained from 2316 small-molecule crystal structures containing C, H, N, O, P, S, F, Cl, and Br atoms. MATTS2021 data bank now covers most of the small molecules, peptides, RNA, DNA, and some frequently occurring cations and anions in biological, pharmaceutical, and organic materials, including the majority of known crystal structures composed of the above elements. The multipole model parameters (Pval, κ, κ′, Plm) obtained for different atom types were greatly influenced by neighboring atom types, hybridization, geometrical strain in the ring system, and charges on the molecule. Contrary to previous findings, the atoms showing variable oxidation states and ions deviate from the linear dependence of monopole-derived charges on the expansion–contraction κ parameter.","container-title":"Journal of Chemical Information and Modeling","DOI":"10.1021/acs.jcim.2c00144","ISSN":"1549-9596","issue":"16","journalAbbreviation":"J. Chem. Inf. Model.","note":"publisher: American Chemical Society","page":"3752-3765","source":"ACS Publications","title":"Multipolar Atom Types from Theory and Statistical Clustering (MATTS) Data Bank: Restructurization and Extension of UBDB","title-short":"Multipolar Atom Types from Theory and Statistical Clustering (MATTS) Data Bank","volume":"62","author":[{"family":"Jha","given":"Kunal Kumar"},{"family":"Gruza","given":"Barbara"},{"family":"Sypko","given":"Aleksandra"},{"family":"Kumar","given":"Prashant"},{"family":"Chodkiewicz","given":"Michał Leszek"},{"family":"Dominiak","given":"Paulina Maria"}],"issued":{"date-parts":[["2022",8,22]]}}},{"id":8768,"uris":["http://zotero.org/users/8853254/items/8V9UYKR6"],"itemData":{"id":8768,"type":"article-journal","abstract":"The multipole model (MM) uses an aspherical approach to describe electron density and can be used to interpret data from X-ray diffraction in a more accurate manner than using the spherical approximation. The MATTS (multipolar atom types from theory and statistical clustering) data bank gathers MM parameters specific for atom types in proteins, nucleic acids, and organic molecules. However, it was not fully understood how the electron density of particular atoms responds to their surroundings and which factors describe the electron density in molecules within the MM. In this work, by applying clustering using descriptors available in the MATTS data bank, that is, topology and multipole parameters, we found the topology features with the biggest impact on the multipole parameters: the element of the central atom, the number of first neighbors, and planarity of the group. The similarities in the spatial distribution of electron density between and within atom type classes revealed distinct and unique atom types. The quality of existing types can be improved by adding better parametrization, definitions, and local coordinate systems. Future development of the MATTS data bank should lead to a wider range of atom types necessary to construct the electron density of any molecule.","container-title":"Journal of Chemical Information and Modeling","DOI":"10.1021/acs.jcim.2c00145","ISSN":"1549-9596","issue":"16","journalAbbreviation":"J. Chem. Inf. Model.","note":"publisher: American Chemical Society","page":"3766-3783","source":"ACS Publications","title":"Multipolar Atom Types from Theory and Statistical Clustering (MATTS) Data Bank: Impact of Surrounding Atoms on Electron Density from Cluster Analysis","title-short":"Multipolar Atom Types from Theory and Statistical Clustering (MATTS) Data Bank","volume":"62","author":[{"family":"Rybicka","given":"Paulina Maria"},{"family":"Kulik","given":"Marta"},{"family":"Chodkiewicz","given":"Michał Leszek"},{"family":"Dominiak","given":"Paulina Maria"}],"issued":{"date-parts":[["2022",8,22]]}}}],"schema":"https://github.com/citation-style-language/schema/raw/master/csl-citation.json"} </w:instrText>
      </w:r>
      <w:r w:rsidR="00F15A20">
        <w:rPr>
          <w:sz w:val="20"/>
          <w:lang w:val="en-US"/>
        </w:rPr>
        <w:fldChar w:fldCharType="separate"/>
      </w:r>
      <w:r w:rsidR="00F15A20" w:rsidRPr="00F15A20">
        <w:rPr>
          <w:sz w:val="20"/>
          <w:szCs w:val="24"/>
        </w:rPr>
        <w:t>[1–3]</w:t>
      </w:r>
      <w:r w:rsidR="00F15A20">
        <w:rPr>
          <w:sz w:val="20"/>
          <w:lang w:val="en-US"/>
        </w:rPr>
        <w:fldChar w:fldCharType="end"/>
      </w:r>
      <w:r w:rsidR="00F15A20">
        <w:rPr>
          <w:sz w:val="20"/>
          <w:lang w:val="en-US"/>
        </w:rPr>
        <w:t>,</w:t>
      </w:r>
      <w:r w:rsidRPr="0020793B">
        <w:rPr>
          <w:sz w:val="20"/>
          <w:lang w:val="en-US"/>
        </w:rPr>
        <w:t xml:space="preserve"> were evaluated for refinement of an iron complex against 3D ED data. The results demonstrated that IAM significantly overestimates the impact of different OS on the atomic scattering amplitude. In contrast, TAAM significantly improved refinement accuracy and reduced map noise, highlighting the importance of accurate atomic scattering models for interpreting the electrostatic potential map.</w:t>
      </w:r>
      <w:r w:rsidR="0020793B">
        <w:rPr>
          <w:sz w:val="20"/>
          <w:lang w:val="en-US"/>
        </w:rPr>
        <w:fldChar w:fldCharType="begin"/>
      </w:r>
      <w:r w:rsidR="00F15A20">
        <w:rPr>
          <w:sz w:val="20"/>
          <w:lang w:val="en-US"/>
        </w:rPr>
        <w:instrText xml:space="preserve"> ADDIN ZOTERO_ITEM CSL_CITATION {"citationID":"ajYUusD1","properties":{"formattedCitation":"[4]","plainCitation":"[4]","noteIndex":0},"citationItems":[{"id":8919,"uris":["http://zotero.org/users/8853254/items/Z7427IN6"],"itemData":{"id":8919,"type":"article-journal","abstract":"This study examines various methods for modelling the electron density and, thus, the electrostatic potential of an organometallic complex for use in crystal structure refinement against 3D electron diffraction (ED) data. It focuses on modelling the scattering factors of iron(III), considering the electron density distribution specific for coordination with organic linkers. We refined the structural model of the metal–organic complex, iron(III) acetyl­acetonate (FeAcAc), using both the independent atom model (IAM) and the transferable aspherical atom model (TAAM). TAAM refinement initially employed multipolar parameters from the MATTS databank for acetyl­acetonate, while iron was modelled with a spherical and neutral approach (TAAM ligand). Later, custom-made TAAM scattering factors for Fe—O coordination were derived from DFT calculations [TAAM-ligand-Fe(III)]. Our findings show that, in this compound, the TAAM scattering factor corresponding to Fe3+ has a lower scattering amplitude than the Fe3+ charged scattering factor described by IAM. When using scattering factors corresponding to the oxidation state of iron, IAM inaccurately represents electrostatic potential maps and overestimates the scattering potential of the iron. In addition, TAAM significantly improved the fitting of the model to the data, shown by improved R1 values, goodness-of-fit (GooF) and reduced noise in the Fourier difference map (based on the residual distribution analysis). For 3D ED, R1 values improved from 19.36% (IAM) to 17.44% (TAAM-ligand) and 17.49% (TAAM-ligand-Fe3+), and for single-crystal X-ray diffraction (SCXRD) from 3.82 to 2.03% and 1.98%, respectively. For 3D ED, the most significant R1 reductions occurred in the low-resolution region (8.65–2.00 Å), dropping from 20.19% (IAM) to 14.67% and 14.89% for TAAM-ligand and TAAM-ligand-Fe(III), respectively, with less improvement in high-resolution ranges (2.00–0.85 Å). This indicates that the major enhancements are due to better scattering modelling in low-resolution zones. Furthermore, when using TAAM instead of IAM, there was a noticeable improvement in the shape of the thermal ellipsoids, which more closely resembled those of an SCXRD-refined model. This study demonstrates the applicability of more sophisticated scattering factors to improve the refinement of metal–organic complexes against 3D ED data, suggesting the need for more accurate modelling methods and highlighting the potential of TAAM in examining the charge distribution of large molecular structures using 3D ED.","container-title":"IUCrJ","DOI":"10.1107/S2052252524006730","ISSN":"2052-2525","issue":"5","journalAbbreviation":"IUCrJ","language":"en","license":"https://creativecommons.org/licenses/by/4.0/","note":"number: 5\npublisher: International Union of Crystallography","page":"878-890","source":"journals.iucr.org","title":"On the structure refinement of metal complexes against 3D electron diffraction data using multipolar scattering factors","volume":"11","author":[{"family":"Pacoste","given":"L."},{"family":"Ignat'ev","given":"V. M."},{"family":"Dominiak","given":"P. M."},{"family":"Zou","given":"X."}],"issued":{"date-parts":[["2024",9,1]]}}}],"schema":"https://github.com/citation-style-language/schema/raw/master/csl-citation.json"} </w:instrText>
      </w:r>
      <w:r w:rsidR="0020793B">
        <w:rPr>
          <w:sz w:val="20"/>
          <w:lang w:val="en-US"/>
        </w:rPr>
        <w:fldChar w:fldCharType="separate"/>
      </w:r>
      <w:r w:rsidR="00F15A20" w:rsidRPr="00F15A20">
        <w:rPr>
          <w:sz w:val="20"/>
        </w:rPr>
        <w:t>[4]</w:t>
      </w:r>
      <w:r w:rsidR="0020793B">
        <w:rPr>
          <w:sz w:val="20"/>
          <w:lang w:val="en-US"/>
        </w:rPr>
        <w:fldChar w:fldCharType="end"/>
      </w:r>
      <w:r w:rsidRPr="0020793B">
        <w:rPr>
          <w:sz w:val="20"/>
          <w:lang w:val="en-US"/>
        </w:rPr>
        <w:t xml:space="preserve"> </w:t>
      </w:r>
    </w:p>
    <w:p w:rsidR="0016572C" w:rsidRPr="0020793B" w:rsidRDefault="007718A0" w:rsidP="00C862D5">
      <w:pPr>
        <w:pStyle w:val="Body"/>
        <w:rPr>
          <w:sz w:val="20"/>
          <w:lang w:val="en-US"/>
        </w:rPr>
      </w:pPr>
      <w:r>
        <w:rPr>
          <w:sz w:val="20"/>
          <w:lang w:val="en-US"/>
        </w:rPr>
        <w:t>Furthermore, u</w:t>
      </w:r>
      <w:r w:rsidR="00C862D5" w:rsidRPr="0020793B">
        <w:rPr>
          <w:sz w:val="20"/>
          <w:lang w:val="en-US"/>
        </w:rPr>
        <w:t>sing a new serial electron diffraction (</w:t>
      </w:r>
      <w:proofErr w:type="spellStart"/>
      <w:r w:rsidR="00C862D5" w:rsidRPr="0020793B">
        <w:rPr>
          <w:sz w:val="20"/>
          <w:lang w:val="en-US"/>
        </w:rPr>
        <w:t>SerialED</w:t>
      </w:r>
      <w:proofErr w:type="spellEnd"/>
      <w:r w:rsidR="00C862D5" w:rsidRPr="0020793B">
        <w:rPr>
          <w:sz w:val="20"/>
          <w:lang w:val="en-US"/>
        </w:rPr>
        <w:t>) protocol</w:t>
      </w:r>
      <w:r w:rsidR="0020793B" w:rsidRPr="0020793B">
        <w:rPr>
          <w:sz w:val="20"/>
          <w:lang w:val="en-US"/>
        </w:rPr>
        <w:t xml:space="preserve">, </w:t>
      </w:r>
      <w:r w:rsidR="00C862D5" w:rsidRPr="0020793B">
        <w:rPr>
          <w:sz w:val="20"/>
          <w:lang w:val="en-US"/>
        </w:rPr>
        <w:t xml:space="preserve">we determined the structures of two redox states of the iron-containing protein ribonucleotide reductase R2 subunit (R2a). </w:t>
      </w:r>
      <w:proofErr w:type="spellStart"/>
      <w:r w:rsidR="0016572C" w:rsidRPr="0020793B">
        <w:rPr>
          <w:sz w:val="20"/>
          <w:lang w:val="en-US"/>
        </w:rPr>
        <w:t>Isomorphous</w:t>
      </w:r>
      <w:proofErr w:type="spellEnd"/>
      <w:r w:rsidR="0016572C" w:rsidRPr="0020793B">
        <w:rPr>
          <w:sz w:val="20"/>
          <w:lang w:val="en-US"/>
        </w:rPr>
        <w:t xml:space="preserve"> difference maps computed between the experimental data from the two redox states revealed a signal at the iron sites, which could be attributed to OS changes. Model-derived structure factors supported this interpretation, indicating that OS differences contributed ~12-14% to </w:t>
      </w:r>
      <w:proofErr w:type="spellStart"/>
      <w:r w:rsidR="0016572C" w:rsidRPr="0020793B">
        <w:rPr>
          <w:sz w:val="20"/>
          <w:lang w:val="en-US"/>
        </w:rPr>
        <w:t>isomorphous</w:t>
      </w:r>
      <w:proofErr w:type="spellEnd"/>
      <w:r w:rsidR="0016572C" w:rsidRPr="0020793B">
        <w:rPr>
          <w:sz w:val="20"/>
          <w:lang w:val="en-US"/>
        </w:rPr>
        <w:t xml:space="preserve"> difference peaks, while the remainder resulted from atomic displacement between redox states. These findings suggest that differences in scattering amplitude due to oxidation state changes are already detectable within the current accuracy and precision of the data.</w:t>
      </w:r>
    </w:p>
    <w:p w:rsidR="007F53A1" w:rsidRDefault="0016572C" w:rsidP="00C862D5">
      <w:pPr>
        <w:pStyle w:val="Body"/>
        <w:rPr>
          <w:sz w:val="20"/>
          <w:lang w:val="en-US"/>
        </w:rPr>
      </w:pPr>
      <w:r w:rsidRPr="0020793B">
        <w:rPr>
          <w:sz w:val="20"/>
          <w:lang w:val="en-US"/>
        </w:rPr>
        <w:t xml:space="preserve">Model-derived structure factors were computed based on </w:t>
      </w:r>
      <w:r w:rsidR="00C862D5" w:rsidRPr="0020793B">
        <w:rPr>
          <w:sz w:val="20"/>
          <w:lang w:val="en-US"/>
        </w:rPr>
        <w:t>TAAM,</w:t>
      </w:r>
      <w:r w:rsidRPr="0020793B">
        <w:rPr>
          <w:sz w:val="20"/>
          <w:lang w:val="en-US"/>
        </w:rPr>
        <w:t xml:space="preserve"> since this model accurately models partial charges. To compute structure factors using TAAM scattering factors, we developed the Python-based wrapper </w:t>
      </w:r>
      <w:proofErr w:type="spellStart"/>
      <w:r w:rsidRPr="0020793B">
        <w:rPr>
          <w:rStyle w:val="Strong"/>
          <w:b w:val="0"/>
          <w:bCs w:val="0"/>
          <w:sz w:val="20"/>
          <w:lang w:val="en-US"/>
        </w:rPr>
        <w:t>pyDiSCaMB</w:t>
      </w:r>
      <w:proofErr w:type="spellEnd"/>
      <w:r w:rsidRPr="0020793B">
        <w:rPr>
          <w:sz w:val="20"/>
          <w:lang w:val="en-US"/>
        </w:rPr>
        <w:t xml:space="preserve">, which served as an interface between the </w:t>
      </w:r>
      <w:proofErr w:type="spellStart"/>
      <w:r w:rsidRPr="0020793B">
        <w:rPr>
          <w:sz w:val="20"/>
          <w:lang w:val="en-US"/>
        </w:rPr>
        <w:t>DiSCaMB</w:t>
      </w:r>
      <w:proofErr w:type="spellEnd"/>
      <w:r w:rsidRPr="0020793B">
        <w:rPr>
          <w:sz w:val="20"/>
          <w:lang w:val="en-US"/>
        </w:rPr>
        <w:t xml:space="preserve"> library</w:t>
      </w:r>
      <w:r w:rsidR="00F15A20">
        <w:rPr>
          <w:sz w:val="20"/>
          <w:lang w:val="en-US"/>
        </w:rPr>
        <w:fldChar w:fldCharType="begin"/>
      </w:r>
      <w:r w:rsidR="00F15A20">
        <w:rPr>
          <w:sz w:val="20"/>
          <w:lang w:val="en-US"/>
        </w:rPr>
        <w:instrText xml:space="preserve"> ADDIN ZOTERO_ITEM CSL_CITATION {"citationID":"yWCFCfhU","properties":{"formattedCitation":"[5]","plainCitation":"[5]","noteIndex":0},"citationItems":[{"id":8630,"uris":["http://zotero.org/users/8853254/items/MV442TI2"],"itemData":{"id":8630,"type":"article-journal","abstract":"It has been recently established that the accuracy of structural parameters from X-ray refinement of crystal structures can be improved by using a bank of aspherical pseudoatoms instead of the classical spherical model of atomic form factors. This comes, however, at the cost of increased complexity of the underlying calculations. In order to facilitate the adoption of this more advanced electron density model by the broader community of crystallographers, a new software implementation called DiSCaMB, `densities in structural chemistry and molecular biology', has been developed. It addresses the challenge of providing for high performance on modern computing architectures. With parallelization options for both multi-core processors and graphics processing units (using CUDA), the library features calculation of X-ray scattering factors and their derivatives with respect to structural parameters, gives access to intermediate steps of the scattering factor calculations (thus allowing for experimentation with modifications of the underlying electron density model), and provides tools for basic structural crystallographic operations. Permissively (MIT) licensed, DiSCaMB is an open-source C++ library that can be embedded in both academic and commercial tools for X-ray structure refinement.","container-title":"Journal of Applied Crystallography","DOI":"10.1107/S1600576717015825","ISSN":"1600-5767","issue":"1","journalAbbreviation":"J Appl Cryst","language":"en","note":"publisher: International Union of Crystallography","page":"193-199","source":"journals.iucr.org","title":"DiSCaMB: a software library for aspherical atom model X-ray scattering factor calculations with CPUs and GPUs","title-short":"DiSCaMB","volume":"51","author":[{"family":"Chodkiewicz","given":"M. L."},{"family":"Migacz","given":"S."},{"family":"Rudnicki","given":"W."},{"family":"Makal","given":"A."},{"family":"Kalinowski","given":"J. A."},{"family":"Moriarty","given":"N. W."},{"family":"Grosse-Kunstleve","given":"R. W."},{"family":"Afonine","given":"P. V."},{"family":"Adams","given":"P. D."},{"family":"Dominiak","given":"P. M."}],"issued":{"date-parts":[["2018",2,1]]}}}],"schema":"https://github.com/citation-style-language/schema/raw/master/csl-citation.json"} </w:instrText>
      </w:r>
      <w:r w:rsidR="00F15A20">
        <w:rPr>
          <w:sz w:val="20"/>
          <w:lang w:val="en-US"/>
        </w:rPr>
        <w:fldChar w:fldCharType="separate"/>
      </w:r>
      <w:r w:rsidR="00F15A20" w:rsidRPr="00F15A20">
        <w:rPr>
          <w:sz w:val="20"/>
        </w:rPr>
        <w:t>[5]</w:t>
      </w:r>
      <w:r w:rsidR="00F15A20">
        <w:rPr>
          <w:sz w:val="20"/>
          <w:lang w:val="en-US"/>
        </w:rPr>
        <w:fldChar w:fldCharType="end"/>
      </w:r>
      <w:r w:rsidRPr="0020793B">
        <w:rPr>
          <w:sz w:val="20"/>
          <w:lang w:val="en-US"/>
        </w:rPr>
        <w:t xml:space="preserve"> and </w:t>
      </w:r>
      <w:proofErr w:type="spellStart"/>
      <w:r w:rsidRPr="0020793B">
        <w:rPr>
          <w:sz w:val="20"/>
          <w:lang w:val="en-US"/>
        </w:rPr>
        <w:t>cctbx</w:t>
      </w:r>
      <w:proofErr w:type="spellEnd"/>
      <w:r w:rsidRPr="0020793B">
        <w:rPr>
          <w:sz w:val="20"/>
          <w:lang w:val="en-US"/>
        </w:rPr>
        <w:t xml:space="preserve">, the underlying library of </w:t>
      </w:r>
      <w:proofErr w:type="spellStart"/>
      <w:r w:rsidRPr="0020793B">
        <w:rPr>
          <w:sz w:val="20"/>
          <w:lang w:val="en-US"/>
        </w:rPr>
        <w:t>Phenix</w:t>
      </w:r>
      <w:proofErr w:type="spellEnd"/>
      <w:r w:rsidR="00F15A20">
        <w:rPr>
          <w:sz w:val="20"/>
          <w:lang w:val="en-US"/>
        </w:rPr>
        <w:fldChar w:fldCharType="begin"/>
      </w:r>
      <w:r w:rsidR="00F15A20">
        <w:rPr>
          <w:sz w:val="20"/>
          <w:lang w:val="en-US"/>
        </w:rPr>
        <w:instrText xml:space="preserve"> ADDIN ZOTERO_ITEM CSL_CITATION {"citationID":"l3gQHdOr","properties":{"formattedCitation":"[6]","plainCitation":"[6]","noteIndex":0},"citationItems":[{"id":193,"uris":["http://zotero.org/users/8853254/items/Y7E2GW3W"],"itemData":{"id":193,"type":"article-journal","abstract":"Macromolecular X-ray crystallography is routinely applied to understand biological processes at a molecular level. How­ever, significant time and effort are still required to solve and complete many of these structures because of the need for manual interpretation of complex numerical data using many software packages and the repeated use of interactive three-dimensional graphics. PHENIX has been developed to provide a comprehensive system for macromolecular crystallo­graphic structure solution with an emphasis on the automation of all procedures. This has relied on the development of algorithms that minimize or eliminate subjective input, the development of algorithms that automate procedures that are traditionally performed by hand and, finally, the development of a framework that allows a tight integration between the algorithms.","container-title":"Acta Crystallographica Section D: Biological Crystallography","DOI":"10.1107/S0907444909052925","ISSN":"0907-4449","issue":"2","journalAbbreviation":"Acta Cryst D","language":"en","license":"http://creativecommons.org/licenses/by/2.0/uk","note":"number: 2\npublisher: International Union of Crystallography","page":"213-221","source":"journals.iucr.org","title":"PHENIX: a comprehensive Python-based system for macromolecular structure solution","title-short":"PHENIX","volume":"66","author":[{"family":"Adams","given":"P. D."},{"family":"Afonine","given":"P. V."},{"family":"Bunkóczi","given":"G."},{"family":"Chen","given":"V. B."},{"family":"Davis","given":"I. W."},{"family":"Echols","given":"N."},{"family":"Headd","given":"J. J."},{"family":"Hung","given":"L.-W."},{"family":"Kapral","given":"G. J."},{"family":"Grosse-Kunstleve","given":"R. W."},{"family":"McCoy","given":"A. J."},{"family":"Moriarty","given":"N. W."},{"family":"Oeffner","given":"R."},{"family":"Read","given":"R. J."},{"family":"Richardson","given":"D. C."},{"family":"Richardson","given":"J. S."},{"family":"Terwilliger","given":"T. C."},{"family":"Zwart","given":"P. H."}],"issued":{"date-parts":[["2010",2,1]]}}}],"schema":"https://github.com/citation-style-language/schema/raw/master/csl-citation.json"} </w:instrText>
      </w:r>
      <w:r w:rsidR="00F15A20">
        <w:rPr>
          <w:sz w:val="20"/>
          <w:lang w:val="en-US"/>
        </w:rPr>
        <w:fldChar w:fldCharType="separate"/>
      </w:r>
      <w:r w:rsidR="00F15A20" w:rsidRPr="00F15A20">
        <w:rPr>
          <w:sz w:val="20"/>
        </w:rPr>
        <w:t>[6]</w:t>
      </w:r>
      <w:r w:rsidR="00F15A20">
        <w:rPr>
          <w:sz w:val="20"/>
          <w:lang w:val="en-US"/>
        </w:rPr>
        <w:fldChar w:fldCharType="end"/>
      </w:r>
      <w:r w:rsidRPr="0020793B">
        <w:rPr>
          <w:sz w:val="20"/>
          <w:lang w:val="en-US"/>
        </w:rPr>
        <w:t xml:space="preserve">. This development is a crucial step toward implementing TAAM scattering factors in </w:t>
      </w:r>
      <w:proofErr w:type="spellStart"/>
      <w:r w:rsidRPr="0020793B">
        <w:rPr>
          <w:rStyle w:val="Strong"/>
          <w:b w:val="0"/>
          <w:bCs w:val="0"/>
          <w:sz w:val="20"/>
          <w:lang w:val="en-US"/>
        </w:rPr>
        <w:t>phenix.refine</w:t>
      </w:r>
      <w:proofErr w:type="spellEnd"/>
      <w:r w:rsidRPr="0020793B">
        <w:rPr>
          <w:sz w:val="20"/>
          <w:lang w:val="en-US"/>
        </w:rPr>
        <w:t xml:space="preserve">, which should enhance phase accuracy and reduce map noise. All in all, this study lays the foundation for oxidation state determination of metal-ion co-factors in </w:t>
      </w:r>
      <w:proofErr w:type="spellStart"/>
      <w:r w:rsidRPr="0020793B">
        <w:rPr>
          <w:sz w:val="20"/>
          <w:lang w:val="en-US"/>
        </w:rPr>
        <w:t>metalloenzymes</w:t>
      </w:r>
      <w:proofErr w:type="spellEnd"/>
      <w:r w:rsidRPr="0020793B">
        <w:rPr>
          <w:sz w:val="20"/>
          <w:lang w:val="en-US"/>
        </w:rPr>
        <w:t xml:space="preserve"> from electron diffraction data.</w:t>
      </w:r>
    </w:p>
    <w:p w:rsidR="00183221" w:rsidRDefault="00183221" w:rsidP="00C862D5">
      <w:pPr>
        <w:pStyle w:val="Body"/>
        <w:rPr>
          <w:sz w:val="20"/>
          <w:lang w:val="en-US"/>
        </w:rPr>
      </w:pPr>
    </w:p>
    <w:p w:rsidR="00183221" w:rsidRPr="00183221" w:rsidRDefault="00183221" w:rsidP="00C862D5">
      <w:pPr>
        <w:pStyle w:val="Body"/>
        <w:rPr>
          <w:b/>
          <w:sz w:val="20"/>
          <w:lang w:val="en-US"/>
        </w:rPr>
      </w:pPr>
      <w:r>
        <w:rPr>
          <w:b/>
          <w:sz w:val="20"/>
          <w:lang w:val="en-US"/>
        </w:rPr>
        <w:t xml:space="preserve">References: </w:t>
      </w:r>
    </w:p>
    <w:p w:rsidR="00F15A20" w:rsidRPr="00F15A20" w:rsidRDefault="00183221" w:rsidP="00F15A20">
      <w:pPr>
        <w:pStyle w:val="Bibliography"/>
      </w:pPr>
      <w:r>
        <w:t>[</w:t>
      </w:r>
      <w:r w:rsidR="0020793B">
        <w:fldChar w:fldCharType="begin"/>
      </w:r>
      <w:r>
        <w:instrText xml:space="preserve"> ADDIN ZOTERO_BIBL {"uncited":[],"omitted":[],"custom":[]} CSL_BIBLIOGRAPHY </w:instrText>
      </w:r>
      <w:r w:rsidR="0020793B">
        <w:fldChar w:fldCharType="separate"/>
      </w:r>
      <w:r w:rsidR="00F15A20">
        <w:t>1]</w:t>
      </w:r>
      <w:r w:rsidR="00F15A20" w:rsidRPr="00F15A20">
        <w:tab/>
        <w:t xml:space="preserve">Kumar, P., Gruza, B., </w:t>
      </w:r>
      <w:proofErr w:type="spellStart"/>
      <w:r w:rsidR="00F15A20" w:rsidRPr="00F15A20">
        <w:t>Bojarowski</w:t>
      </w:r>
      <w:proofErr w:type="spellEnd"/>
      <w:r w:rsidR="00F15A20" w:rsidRPr="00F15A20">
        <w:t xml:space="preserve">, S.A., and Dominiak, P.M. (2019) </w:t>
      </w:r>
      <w:proofErr w:type="spellStart"/>
      <w:r w:rsidR="00F15A20" w:rsidRPr="00F15A20">
        <w:rPr>
          <w:i/>
          <w:iCs/>
        </w:rPr>
        <w:t>Acta</w:t>
      </w:r>
      <w:proofErr w:type="spellEnd"/>
      <w:r w:rsidR="00F15A20" w:rsidRPr="00F15A20">
        <w:rPr>
          <w:i/>
          <w:iCs/>
        </w:rPr>
        <w:t xml:space="preserve"> </w:t>
      </w:r>
      <w:proofErr w:type="spellStart"/>
      <w:r w:rsidR="00F15A20" w:rsidRPr="00F15A20">
        <w:rPr>
          <w:i/>
          <w:iCs/>
        </w:rPr>
        <w:t>Cryst</w:t>
      </w:r>
      <w:proofErr w:type="spellEnd"/>
      <w:r w:rsidR="00F15A20" w:rsidRPr="00F15A20">
        <w:rPr>
          <w:i/>
          <w:iCs/>
        </w:rPr>
        <w:t xml:space="preserve"> A</w:t>
      </w:r>
      <w:r w:rsidR="00F15A20" w:rsidRPr="00F15A20">
        <w:t xml:space="preserve">, </w:t>
      </w:r>
      <w:r w:rsidR="00F15A20" w:rsidRPr="00F15A20">
        <w:rPr>
          <w:b/>
          <w:bCs/>
        </w:rPr>
        <w:t>75</w:t>
      </w:r>
      <w:r w:rsidR="00F15A20" w:rsidRPr="00F15A20">
        <w:t xml:space="preserve"> (2), 398–408.</w:t>
      </w:r>
    </w:p>
    <w:p w:rsidR="00F15A20" w:rsidRPr="00F15A20" w:rsidRDefault="00F15A20" w:rsidP="00F15A20">
      <w:pPr>
        <w:pStyle w:val="Bibliography"/>
      </w:pPr>
      <w:r>
        <w:t>[2]</w:t>
      </w:r>
      <w:r w:rsidRPr="00F15A20">
        <w:tab/>
      </w:r>
      <w:proofErr w:type="spellStart"/>
      <w:r w:rsidRPr="00F15A20">
        <w:t>Jha</w:t>
      </w:r>
      <w:proofErr w:type="spellEnd"/>
      <w:r w:rsidRPr="00F15A20">
        <w:t xml:space="preserve">, K.K., Gruza, B., </w:t>
      </w:r>
      <w:proofErr w:type="spellStart"/>
      <w:r w:rsidRPr="00F15A20">
        <w:t>Sypko</w:t>
      </w:r>
      <w:proofErr w:type="spellEnd"/>
      <w:r w:rsidRPr="00F15A20">
        <w:t xml:space="preserve">, A., Kumar, P., Chodkiewicz, M.L., and Dominiak, P.M. (2022) </w:t>
      </w:r>
      <w:r w:rsidRPr="00F15A20">
        <w:rPr>
          <w:i/>
          <w:iCs/>
        </w:rPr>
        <w:t>J. Chem. Inf. Model.</w:t>
      </w:r>
      <w:r w:rsidRPr="00F15A20">
        <w:t xml:space="preserve">, </w:t>
      </w:r>
      <w:r w:rsidRPr="00F15A20">
        <w:rPr>
          <w:b/>
          <w:bCs/>
        </w:rPr>
        <w:t>62</w:t>
      </w:r>
      <w:r w:rsidRPr="00F15A20">
        <w:t xml:space="preserve"> (16), 3752–3765.</w:t>
      </w:r>
    </w:p>
    <w:p w:rsidR="00F15A20" w:rsidRPr="00F15A20" w:rsidRDefault="00F15A20" w:rsidP="00F15A20">
      <w:pPr>
        <w:pStyle w:val="Bibliography"/>
      </w:pPr>
      <w:r>
        <w:t>[</w:t>
      </w:r>
      <w:r w:rsidRPr="00F15A20">
        <w:t>3</w:t>
      </w:r>
      <w:r>
        <w:t>]</w:t>
      </w:r>
      <w:r w:rsidRPr="00F15A20">
        <w:tab/>
      </w:r>
      <w:proofErr w:type="spellStart"/>
      <w:r w:rsidRPr="00F15A20">
        <w:t>Rybicka</w:t>
      </w:r>
      <w:proofErr w:type="spellEnd"/>
      <w:r w:rsidRPr="00F15A20">
        <w:t xml:space="preserve">, P.M., </w:t>
      </w:r>
      <w:proofErr w:type="spellStart"/>
      <w:r w:rsidRPr="00F15A20">
        <w:t>Kulik</w:t>
      </w:r>
      <w:proofErr w:type="spellEnd"/>
      <w:r w:rsidRPr="00F15A20">
        <w:t xml:space="preserve">, M., Chodkiewicz, M.L., and Dominiak, P.M. (2022) </w:t>
      </w:r>
      <w:r w:rsidRPr="00F15A20">
        <w:rPr>
          <w:i/>
          <w:iCs/>
        </w:rPr>
        <w:t>J. Chem. Inf. Model.</w:t>
      </w:r>
      <w:r w:rsidRPr="00F15A20">
        <w:t xml:space="preserve">, </w:t>
      </w:r>
      <w:r w:rsidRPr="00F15A20">
        <w:rPr>
          <w:b/>
          <w:bCs/>
        </w:rPr>
        <w:t>62</w:t>
      </w:r>
      <w:r w:rsidRPr="00F15A20">
        <w:t xml:space="preserve"> (16), 3766–3783.</w:t>
      </w:r>
    </w:p>
    <w:p w:rsidR="00F15A20" w:rsidRPr="00F15A20" w:rsidRDefault="00F15A20" w:rsidP="00F15A20">
      <w:pPr>
        <w:pStyle w:val="Bibliography"/>
      </w:pPr>
      <w:r>
        <w:t>[</w:t>
      </w:r>
      <w:r w:rsidRPr="00F15A20">
        <w:t>4</w:t>
      </w:r>
      <w:r>
        <w:t>]</w:t>
      </w:r>
      <w:r w:rsidRPr="00F15A20">
        <w:tab/>
        <w:t xml:space="preserve">Pacoste, L., </w:t>
      </w:r>
      <w:proofErr w:type="spellStart"/>
      <w:r w:rsidRPr="00F15A20">
        <w:t>Ignat’ev</w:t>
      </w:r>
      <w:proofErr w:type="spellEnd"/>
      <w:r w:rsidRPr="00F15A20">
        <w:t xml:space="preserve">, V.M., Dominiak, P.M., and Zou, X. (2024) </w:t>
      </w:r>
      <w:proofErr w:type="spellStart"/>
      <w:r w:rsidRPr="00F15A20">
        <w:rPr>
          <w:i/>
          <w:iCs/>
        </w:rPr>
        <w:t>IUCrJ</w:t>
      </w:r>
      <w:proofErr w:type="spellEnd"/>
      <w:r w:rsidRPr="00F15A20">
        <w:t xml:space="preserve">, </w:t>
      </w:r>
      <w:r w:rsidRPr="00F15A20">
        <w:rPr>
          <w:b/>
          <w:bCs/>
        </w:rPr>
        <w:t>11</w:t>
      </w:r>
      <w:r w:rsidRPr="00F15A20">
        <w:t xml:space="preserve"> (5), 878–890.</w:t>
      </w:r>
    </w:p>
    <w:p w:rsidR="00F15A20" w:rsidRPr="00F15A20" w:rsidRDefault="00F15A20" w:rsidP="00F15A20">
      <w:pPr>
        <w:pStyle w:val="Bibliography"/>
      </w:pPr>
      <w:r>
        <w:t>[5]</w:t>
      </w:r>
      <w:r w:rsidRPr="00F15A20">
        <w:tab/>
        <w:t xml:space="preserve">Chodkiewicz, M.L., </w:t>
      </w:r>
      <w:proofErr w:type="spellStart"/>
      <w:r w:rsidRPr="00F15A20">
        <w:t>Migacz</w:t>
      </w:r>
      <w:proofErr w:type="spellEnd"/>
      <w:r w:rsidRPr="00F15A20">
        <w:t xml:space="preserve">, S., </w:t>
      </w:r>
      <w:proofErr w:type="spellStart"/>
      <w:r w:rsidRPr="00F15A20">
        <w:t>Rudnicki</w:t>
      </w:r>
      <w:proofErr w:type="spellEnd"/>
      <w:r w:rsidRPr="00F15A20">
        <w:t xml:space="preserve">, W., </w:t>
      </w:r>
      <w:proofErr w:type="spellStart"/>
      <w:r w:rsidRPr="00F15A20">
        <w:t>Makal</w:t>
      </w:r>
      <w:proofErr w:type="spellEnd"/>
      <w:r w:rsidRPr="00F15A20">
        <w:t xml:space="preserve">, A., </w:t>
      </w:r>
      <w:proofErr w:type="spellStart"/>
      <w:r w:rsidRPr="00F15A20">
        <w:t>Kalinowski</w:t>
      </w:r>
      <w:proofErr w:type="spellEnd"/>
      <w:r w:rsidRPr="00F15A20">
        <w:t>, J.A., Moriarty, N.W., Grosse-</w:t>
      </w:r>
      <w:proofErr w:type="spellStart"/>
      <w:r w:rsidRPr="00F15A20">
        <w:t>Kunstleve</w:t>
      </w:r>
      <w:proofErr w:type="spellEnd"/>
      <w:r w:rsidRPr="00F15A20">
        <w:t xml:space="preserve">, R.W., </w:t>
      </w:r>
      <w:proofErr w:type="spellStart"/>
      <w:r w:rsidRPr="00F15A20">
        <w:t>Afonine</w:t>
      </w:r>
      <w:proofErr w:type="spellEnd"/>
      <w:r w:rsidRPr="00F15A20">
        <w:t xml:space="preserve">, P.V., Adams, P.D., and Dominiak, P.M. (2018) </w:t>
      </w:r>
      <w:r w:rsidRPr="00F15A20">
        <w:rPr>
          <w:i/>
          <w:iCs/>
        </w:rPr>
        <w:t xml:space="preserve">J </w:t>
      </w:r>
      <w:proofErr w:type="spellStart"/>
      <w:r w:rsidRPr="00F15A20">
        <w:rPr>
          <w:i/>
          <w:iCs/>
        </w:rPr>
        <w:t>Appl</w:t>
      </w:r>
      <w:proofErr w:type="spellEnd"/>
      <w:r w:rsidRPr="00F15A20">
        <w:rPr>
          <w:i/>
          <w:iCs/>
        </w:rPr>
        <w:t xml:space="preserve"> </w:t>
      </w:r>
      <w:proofErr w:type="spellStart"/>
      <w:r w:rsidRPr="00F15A20">
        <w:rPr>
          <w:i/>
          <w:iCs/>
        </w:rPr>
        <w:t>Cryst</w:t>
      </w:r>
      <w:proofErr w:type="spellEnd"/>
      <w:r w:rsidRPr="00F15A20">
        <w:t xml:space="preserve">, </w:t>
      </w:r>
      <w:r w:rsidRPr="00F15A20">
        <w:rPr>
          <w:b/>
          <w:bCs/>
        </w:rPr>
        <w:t>51</w:t>
      </w:r>
      <w:r w:rsidRPr="00F15A20">
        <w:t xml:space="preserve"> (1), 193–199.</w:t>
      </w:r>
    </w:p>
    <w:p w:rsidR="00F15A20" w:rsidRPr="00F15A20" w:rsidRDefault="00F15A20" w:rsidP="00F15A20">
      <w:pPr>
        <w:pStyle w:val="Bibliography"/>
      </w:pPr>
      <w:r>
        <w:t>[6]</w:t>
      </w:r>
      <w:r w:rsidRPr="00F15A20">
        <w:tab/>
        <w:t xml:space="preserve">Adams, P.D., </w:t>
      </w:r>
      <w:proofErr w:type="spellStart"/>
      <w:r w:rsidRPr="00F15A20">
        <w:t>Afonine</w:t>
      </w:r>
      <w:proofErr w:type="spellEnd"/>
      <w:r w:rsidRPr="00F15A20">
        <w:t xml:space="preserve">, P.V., </w:t>
      </w:r>
      <w:proofErr w:type="spellStart"/>
      <w:r w:rsidRPr="00F15A20">
        <w:t>Bunkóczi</w:t>
      </w:r>
      <w:proofErr w:type="spellEnd"/>
      <w:r w:rsidRPr="00F15A20">
        <w:t xml:space="preserve">, G., Chen, V.B., Davis, I.W., Echols, N., </w:t>
      </w:r>
      <w:proofErr w:type="spellStart"/>
      <w:r w:rsidRPr="00F15A20">
        <w:t>Headd</w:t>
      </w:r>
      <w:proofErr w:type="spellEnd"/>
      <w:r w:rsidRPr="00F15A20">
        <w:t xml:space="preserve">, J.J., Hung, L.-W., </w:t>
      </w:r>
      <w:proofErr w:type="spellStart"/>
      <w:r w:rsidRPr="00F15A20">
        <w:t>Kapral</w:t>
      </w:r>
      <w:proofErr w:type="spellEnd"/>
      <w:r w:rsidRPr="00F15A20">
        <w:t>, G.J., Grosse-</w:t>
      </w:r>
      <w:proofErr w:type="spellStart"/>
      <w:r w:rsidRPr="00F15A20">
        <w:t>Kunstleve</w:t>
      </w:r>
      <w:proofErr w:type="spellEnd"/>
      <w:r w:rsidRPr="00F15A20">
        <w:t xml:space="preserve">, R.W., McCoy, A.J., Moriarty, N.W., </w:t>
      </w:r>
      <w:proofErr w:type="spellStart"/>
      <w:r w:rsidRPr="00F15A20">
        <w:t>Oeffner</w:t>
      </w:r>
      <w:proofErr w:type="spellEnd"/>
      <w:r w:rsidRPr="00F15A20">
        <w:t xml:space="preserve">, R., Read, R.J., Richardson, D.C., Richardson, J.S., </w:t>
      </w:r>
      <w:proofErr w:type="spellStart"/>
      <w:r w:rsidRPr="00F15A20">
        <w:t>Terwilliger</w:t>
      </w:r>
      <w:proofErr w:type="spellEnd"/>
      <w:r w:rsidRPr="00F15A20">
        <w:t xml:space="preserve">, T.C., and </w:t>
      </w:r>
      <w:proofErr w:type="spellStart"/>
      <w:r w:rsidRPr="00F15A20">
        <w:t>Zwart</w:t>
      </w:r>
      <w:proofErr w:type="spellEnd"/>
      <w:r w:rsidRPr="00F15A20">
        <w:t xml:space="preserve">, P.H. (2010) </w:t>
      </w:r>
      <w:proofErr w:type="spellStart"/>
      <w:r w:rsidRPr="00F15A20">
        <w:rPr>
          <w:i/>
          <w:iCs/>
        </w:rPr>
        <w:t>Acta</w:t>
      </w:r>
      <w:proofErr w:type="spellEnd"/>
      <w:r w:rsidRPr="00F15A20">
        <w:rPr>
          <w:i/>
          <w:iCs/>
        </w:rPr>
        <w:t xml:space="preserve"> </w:t>
      </w:r>
      <w:proofErr w:type="spellStart"/>
      <w:r w:rsidRPr="00F15A20">
        <w:rPr>
          <w:i/>
          <w:iCs/>
        </w:rPr>
        <w:t>Cryst</w:t>
      </w:r>
      <w:proofErr w:type="spellEnd"/>
      <w:r w:rsidRPr="00F15A20">
        <w:rPr>
          <w:i/>
          <w:iCs/>
        </w:rPr>
        <w:t xml:space="preserve"> D</w:t>
      </w:r>
      <w:r w:rsidRPr="00F15A20">
        <w:t xml:space="preserve">, </w:t>
      </w:r>
      <w:r w:rsidRPr="00F15A20">
        <w:rPr>
          <w:b/>
          <w:bCs/>
        </w:rPr>
        <w:t>66</w:t>
      </w:r>
      <w:r w:rsidRPr="00F15A20">
        <w:t xml:space="preserve"> (2), 213–221.</w:t>
      </w:r>
    </w:p>
    <w:p w:rsidR="00183221" w:rsidRDefault="0020793B" w:rsidP="00183221">
      <w:pPr>
        <w:pStyle w:val="Acknowledgement"/>
      </w:pPr>
      <w:r>
        <w:fldChar w:fldCharType="end"/>
      </w:r>
      <w:bookmarkStart w:id="0" w:name="_GoBack"/>
      <w:bookmarkEnd w:id="0"/>
    </w:p>
    <w:p w:rsidR="004B3BA5" w:rsidRPr="004B3BA5" w:rsidRDefault="004B3BA5" w:rsidP="00183221">
      <w:pPr>
        <w:pStyle w:val="Acknowledgement"/>
        <w:rPr>
          <w:b/>
          <w:lang w:val="en-US"/>
        </w:rPr>
      </w:pPr>
      <w:r>
        <w:rPr>
          <w:b/>
          <w:lang w:val="en-US"/>
        </w:rPr>
        <w:lastRenderedPageBreak/>
        <w:t>Acknowledgements:</w:t>
      </w:r>
    </w:p>
    <w:p w:rsidR="0020793B" w:rsidRPr="00183221" w:rsidRDefault="0020793B" w:rsidP="00183221">
      <w:pPr>
        <w:pStyle w:val="Acknowledgement"/>
      </w:pPr>
      <w:r w:rsidRPr="0041769D">
        <w:rPr>
          <w:lang w:val="en-US"/>
        </w:rPr>
        <w:t xml:space="preserve">We acknowledge funding from the Swedish Research Council (2019-00815 and 2021-03992), the Knut </w:t>
      </w:r>
      <w:r w:rsidR="00183221">
        <w:rPr>
          <w:lang w:val="en-US"/>
        </w:rPr>
        <w:t xml:space="preserve">and Alice Wallenberg Foundation </w:t>
      </w:r>
      <w:r w:rsidRPr="0041769D">
        <w:rPr>
          <w:lang w:val="en-US"/>
        </w:rPr>
        <w:t xml:space="preserve">(2018.0237 and 2023.0201). </w:t>
      </w:r>
      <w:r w:rsidRPr="0041769D">
        <w:rPr>
          <w:rStyle w:val="funder"/>
          <w:lang w:val="en-US"/>
        </w:rPr>
        <w:t xml:space="preserve">The National Science Center, Poland, provided the funding for PMD within the research grant no. 2024/53/B/ST4/02777. The Polish high-performance computing infrastructure </w:t>
      </w:r>
      <w:proofErr w:type="spellStart"/>
      <w:r w:rsidRPr="0041769D">
        <w:rPr>
          <w:rStyle w:val="funder"/>
          <w:lang w:val="en-US"/>
        </w:rPr>
        <w:t>PLGrid</w:t>
      </w:r>
      <w:proofErr w:type="spellEnd"/>
      <w:r w:rsidRPr="0041769D">
        <w:rPr>
          <w:rStyle w:val="funder"/>
          <w:lang w:val="en-US"/>
        </w:rPr>
        <w:t xml:space="preserve"> (HPC Centers: ACK </w:t>
      </w:r>
      <w:proofErr w:type="spellStart"/>
      <w:r w:rsidRPr="0041769D">
        <w:rPr>
          <w:rStyle w:val="funder"/>
          <w:lang w:val="en-US"/>
        </w:rPr>
        <w:t>Cyfronet</w:t>
      </w:r>
      <w:proofErr w:type="spellEnd"/>
      <w:r w:rsidRPr="0041769D">
        <w:rPr>
          <w:rStyle w:val="funder"/>
          <w:lang w:val="en-US"/>
        </w:rPr>
        <w:t xml:space="preserve"> AGH, WCSS) provided computer facilities and support within computational grant no. PLG/2023/016287.  </w:t>
      </w:r>
      <w:r w:rsidRPr="0041769D">
        <w:rPr>
          <w:lang w:val="en-US"/>
        </w:rPr>
        <w:t xml:space="preserve">PVA acknowledges funding from the National Institutes of Health (grants R01GM071939, P01GM063210, and R24GM141254), as well as support from the </w:t>
      </w:r>
      <w:proofErr w:type="spellStart"/>
      <w:r w:rsidRPr="0041769D">
        <w:rPr>
          <w:lang w:val="en-US"/>
        </w:rPr>
        <w:t>Phenix</w:t>
      </w:r>
      <w:proofErr w:type="spellEnd"/>
      <w:r w:rsidRPr="0041769D">
        <w:rPr>
          <w:lang w:val="en-US"/>
        </w:rPr>
        <w:t xml:space="preserve"> Industrial Consortium and the US Department of Energy under Contract No. DE-AC02-05CH11231. </w:t>
      </w:r>
      <w:proofErr w:type="spellStart"/>
      <w:r w:rsidRPr="0041769D">
        <w:rPr>
          <w:lang w:val="en-US"/>
        </w:rPr>
        <w:t>SerialED</w:t>
      </w:r>
      <w:proofErr w:type="spellEnd"/>
      <w:r w:rsidRPr="0041769D">
        <w:rPr>
          <w:lang w:val="en-US"/>
        </w:rPr>
        <w:t xml:space="preserve"> data collection was carried out at the National </w:t>
      </w:r>
      <w:proofErr w:type="spellStart"/>
      <w:r w:rsidRPr="0041769D">
        <w:rPr>
          <w:lang w:val="en-US"/>
        </w:rPr>
        <w:t>Cryo</w:t>
      </w:r>
      <w:proofErr w:type="spellEnd"/>
      <w:r w:rsidRPr="0041769D">
        <w:rPr>
          <w:lang w:val="en-US"/>
        </w:rPr>
        <w:t xml:space="preserve">-EM facility at Science for Life Laboratory in </w:t>
      </w:r>
      <w:proofErr w:type="spellStart"/>
      <w:r w:rsidRPr="0041769D">
        <w:rPr>
          <w:lang w:val="en-US"/>
        </w:rPr>
        <w:t>Solna</w:t>
      </w:r>
      <w:proofErr w:type="spellEnd"/>
      <w:r w:rsidRPr="0041769D">
        <w:rPr>
          <w:lang w:val="en-US"/>
        </w:rPr>
        <w:t xml:space="preserve"> (Sweden). </w:t>
      </w:r>
      <w:r w:rsidRPr="0041769D">
        <w:rPr>
          <w:shd w:val="clear" w:color="auto" w:fill="FFFFFF"/>
          <w:lang w:val="en-US"/>
        </w:rPr>
        <w:t xml:space="preserve">XFEL data collection was carried out at the </w:t>
      </w:r>
      <w:proofErr w:type="spellStart"/>
      <w:r w:rsidRPr="0041769D">
        <w:rPr>
          <w:shd w:val="clear" w:color="auto" w:fill="FFFFFF"/>
          <w:lang w:val="en-US"/>
        </w:rPr>
        <w:t>Linac</w:t>
      </w:r>
      <w:proofErr w:type="spellEnd"/>
      <w:r w:rsidRPr="0041769D">
        <w:rPr>
          <w:shd w:val="clear" w:color="auto" w:fill="FFFFFF"/>
          <w:lang w:val="en-US"/>
        </w:rPr>
        <w:t xml:space="preserve"> Coherent Light Source (LCLS), SLAC National Accelerator Laboratory (proposal no. L10297), supported by the DOE Office of Science, OBES under Contract No. DE-AC02-76SF00515. XFEL data processing was performed in part at the National Energy Research Scientific Computing Center, supported by the DOE Office of Science, Contract No. DEAC02-05CH11231. The </w:t>
      </w:r>
      <w:proofErr w:type="spellStart"/>
      <w:r w:rsidRPr="0041769D">
        <w:rPr>
          <w:shd w:val="clear" w:color="auto" w:fill="FFFFFF"/>
          <w:lang w:val="en-US"/>
        </w:rPr>
        <w:t>Rayonix</w:t>
      </w:r>
      <w:proofErr w:type="spellEnd"/>
      <w:r w:rsidRPr="0041769D">
        <w:rPr>
          <w:shd w:val="clear" w:color="auto" w:fill="FFFFFF"/>
          <w:lang w:val="en-US"/>
        </w:rPr>
        <w:t xml:space="preserve"> detector used at LCLS was supported by the NIH grant S10 OD023453. Experiments at the LCLS were supported by the NIH grant P41GM139687</w:t>
      </w:r>
    </w:p>
    <w:p w:rsidR="0020793B" w:rsidRDefault="0020793B">
      <w:pPr>
        <w:pStyle w:val="Acknowledgement"/>
      </w:pPr>
    </w:p>
    <w:sectPr w:rsidR="0020793B">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8BA" w:rsidRDefault="00B668BA">
      <w:pPr>
        <w:spacing w:after="0"/>
      </w:pPr>
      <w:r>
        <w:separator/>
      </w:r>
    </w:p>
  </w:endnote>
  <w:endnote w:type="continuationSeparator" w:id="0">
    <w:p w:rsidR="00B668BA" w:rsidRDefault="00B668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Noto Sans CJK SC">
    <w:panose1 w:val="00000000000000000000"/>
    <w:charset w:val="00"/>
    <w:family w:val="roman"/>
    <w:notTrueType/>
    <w:pitch w:val="default"/>
  </w:font>
  <w:font w:name="Lohit Devanagari">
    <w:altName w:val="MV Boli"/>
    <w:panose1 w:val="00000000000000000000"/>
    <w:charset w:val="00"/>
    <w:family w:val="roman"/>
    <w:notTrueType/>
    <w:pitch w:val="default"/>
  </w:font>
  <w:font w:name="Calibri">
    <w:altName w:val="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3A1" w:rsidRDefault="007F53A1">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8BA" w:rsidRDefault="00B668BA">
      <w:pPr>
        <w:spacing w:after="0"/>
      </w:pPr>
      <w:r>
        <w:separator/>
      </w:r>
    </w:p>
  </w:footnote>
  <w:footnote w:type="continuationSeparator" w:id="0">
    <w:p w:rsidR="00B668BA" w:rsidRDefault="00B668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3A1" w:rsidRDefault="00B668BA">
    <w:pPr>
      <w:tabs>
        <w:tab w:val="center" w:pos="4703"/>
        <w:tab w:val="right" w:pos="9406"/>
      </w:tabs>
    </w:pPr>
    <w:r>
      <w:rPr>
        <w:b/>
        <w:bCs/>
      </w:rPr>
      <w:t>MS</w:t>
    </w:r>
    <w:r w:rsidR="0016572C">
      <w:rPr>
        <w:b/>
        <w:bCs/>
      </w:rPr>
      <w:t xml:space="preserve"> 7</w:t>
    </w:r>
    <w:r>
      <w:tab/>
    </w:r>
    <w:proofErr w:type="spellStart"/>
    <w:r>
      <w:rPr>
        <w:b/>
        <w:bCs/>
      </w:rPr>
      <w:t>Microsymposium</w:t>
    </w:r>
    <w:proofErr w:type="spellEnd"/>
    <w:r w:rsidR="0016572C">
      <w:rPr>
        <w:b/>
        <w:bCs/>
      </w:rPr>
      <w:t>: Electron Diffraction of Macromolecules</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3A1"/>
    <w:rsid w:val="001079E0"/>
    <w:rsid w:val="0016572C"/>
    <w:rsid w:val="00183221"/>
    <w:rsid w:val="0020793B"/>
    <w:rsid w:val="004B3BA5"/>
    <w:rsid w:val="007718A0"/>
    <w:rsid w:val="007F53A1"/>
    <w:rsid w:val="00B668BA"/>
    <w:rsid w:val="00C862D5"/>
    <w:rsid w:val="00D142D6"/>
    <w:rsid w:val="00EF24EA"/>
    <w:rsid w:val="00F15A20"/>
    <w:rsid w:val="00F476A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9193"/>
  <w15:docId w15:val="{B4143627-AFB7-49C0-A7F7-E45612A9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1">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16572C"/>
    <w:pPr>
      <w:suppressAutoHyphens w:val="0"/>
      <w:spacing w:after="160" w:line="276" w:lineRule="auto"/>
    </w:pPr>
    <w:rPr>
      <w:rFonts w:eastAsia="Calibri"/>
      <w:sz w:val="22"/>
      <w:lang w:eastAsia="en-US"/>
    </w:rPr>
  </w:style>
  <w:style w:type="character" w:customStyle="1" w:styleId="BodyChar">
    <w:name w:val="Body Char"/>
    <w:link w:val="Body"/>
    <w:rsid w:val="0016572C"/>
    <w:rPr>
      <w:rFonts w:eastAsia="Calibri"/>
      <w:sz w:val="22"/>
      <w:lang w:eastAsia="en-US"/>
    </w:rPr>
  </w:style>
  <w:style w:type="character" w:styleId="Strong">
    <w:name w:val="Strong"/>
    <w:uiPriority w:val="22"/>
    <w:qFormat/>
    <w:rsid w:val="0016572C"/>
    <w:rPr>
      <w:b/>
      <w:bCs/>
    </w:rPr>
  </w:style>
  <w:style w:type="paragraph" w:customStyle="1" w:styleId="Default">
    <w:name w:val="Default"/>
    <w:autoRedefine/>
    <w:qFormat/>
    <w:rsid w:val="00C862D5"/>
    <w:pPr>
      <w:spacing w:before="120" w:after="120" w:line="276" w:lineRule="auto"/>
      <w:jc w:val="both"/>
    </w:pPr>
    <w:rPr>
      <w:rFonts w:ascii="Times" w:hAnsi="Times"/>
      <w:iCs/>
      <w:color w:val="000000"/>
      <w:sz w:val="22"/>
      <w:szCs w:val="22"/>
    </w:rPr>
  </w:style>
  <w:style w:type="character" w:customStyle="1" w:styleId="funder">
    <w:name w:val="funder"/>
    <w:rsid w:val="0020793B"/>
  </w:style>
  <w:style w:type="paragraph" w:styleId="Bibliography">
    <w:name w:val="Bibliography"/>
    <w:basedOn w:val="Normal"/>
    <w:next w:val="Normal"/>
    <w:uiPriority w:val="37"/>
    <w:unhideWhenUsed/>
    <w:rsid w:val="0020793B"/>
    <w:pPr>
      <w:tabs>
        <w:tab w:val="left" w:pos="264"/>
      </w:tabs>
      <w:spacing w:after="0"/>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35AF6-6181-4C52-8DA8-C468CD626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3121</Words>
  <Characters>18950</Characters>
  <Application>Microsoft Office Word</Application>
  <DocSecurity>0</DocSecurity>
  <Lines>1263</Lines>
  <Paragraphs>882</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21189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Laura Pacoste</cp:lastModifiedBy>
  <cp:revision>7</cp:revision>
  <dcterms:created xsi:type="dcterms:W3CDTF">2025-05-05T09:48:00Z</dcterms:created>
  <dcterms:modified xsi:type="dcterms:W3CDTF">2025-05-05T10:00:00Z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ZOTERO_PREF_1">
    <vt:lpwstr>&lt;data data-version="3" zotero-version="6.0.36"&gt;&lt;session id="bJwkzFxC"/&gt;&lt;style id="http://www.zotero.org/styles/wiley-vch-books" locale="en-GB" hasBibliography="1" bibliographyStyleHasBeenSet="1"/&gt;&lt;prefs&gt;&lt;pref name="fieldType" value="Field"/&gt;&lt;/prefs&gt;&lt;/data</vt:lpwstr>
  </property>
  <property fmtid="{D5CDD505-2E9C-101B-9397-08002B2CF9AE}" pid="7" name="ZOTERO_PREF_2">
    <vt:lpwstr>&gt;</vt:lpwstr>
  </property>
</Properties>
</file>