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9A9D5" w14:textId="1FD26725" w:rsidR="003F5F9D" w:rsidRDefault="00D25043">
      <w:pPr>
        <w:pStyle w:val="Titolo1"/>
      </w:pPr>
      <w:r w:rsidRPr="00D25043">
        <w:t xml:space="preserve">Metal-Organic Frameworks: </w:t>
      </w:r>
      <w:r>
        <w:t>c</w:t>
      </w:r>
      <w:r w:rsidRPr="00D25043">
        <w:t xml:space="preserve">rystallographic </w:t>
      </w:r>
      <w:r>
        <w:t>e</w:t>
      </w:r>
      <w:r w:rsidRPr="00D25043">
        <w:t xml:space="preserve">xplorations of </w:t>
      </w:r>
      <w:r>
        <w:t>p</w:t>
      </w:r>
      <w:r w:rsidRPr="00D25043">
        <w:t xml:space="preserve">orosity and </w:t>
      </w:r>
      <w:r>
        <w:t>f</w:t>
      </w:r>
      <w:r w:rsidRPr="00D25043">
        <w:t>unctionality</w:t>
      </w:r>
      <w:r>
        <w:t xml:space="preserve"> </w:t>
      </w:r>
    </w:p>
    <w:p w14:paraId="42F53C6D" w14:textId="4E646BF2" w:rsidR="003F5F9D" w:rsidRPr="00384F4B" w:rsidRDefault="00D25043">
      <w:pPr>
        <w:pStyle w:val="Titolo2"/>
        <w:rPr>
          <w:lang w:val="it-IT"/>
        </w:rPr>
      </w:pPr>
      <w:r w:rsidRPr="00384F4B">
        <w:rPr>
          <w:lang w:val="it-IT"/>
        </w:rPr>
        <w:t>V. Colombo</w:t>
      </w:r>
      <w:r w:rsidRPr="00384F4B">
        <w:rPr>
          <w:vertAlign w:val="superscript"/>
          <w:lang w:val="it-IT"/>
        </w:rPr>
        <w:t>1</w:t>
      </w:r>
    </w:p>
    <w:p w14:paraId="551BF897" w14:textId="49DD8718" w:rsidR="003F5F9D" w:rsidRPr="00D25043" w:rsidRDefault="00000000">
      <w:pPr>
        <w:pStyle w:val="Titolo3"/>
        <w:rPr>
          <w:lang w:val="it-IT"/>
        </w:rPr>
      </w:pPr>
      <w:r w:rsidRPr="00D25043">
        <w:rPr>
          <w:vertAlign w:val="superscript"/>
          <w:lang w:val="it-IT"/>
        </w:rPr>
        <w:t>1</w:t>
      </w:r>
      <w:r w:rsidR="00D25043" w:rsidRPr="00D25043">
        <w:rPr>
          <w:lang w:val="it-IT"/>
        </w:rPr>
        <w:t>Dipartimento di Chimica, Università d</w:t>
      </w:r>
      <w:r w:rsidR="00D25043">
        <w:rPr>
          <w:lang w:val="it-IT"/>
        </w:rPr>
        <w:t>egli Studi di Milano, via Golgi 19, 20133 Milano (</w:t>
      </w:r>
      <w:proofErr w:type="spellStart"/>
      <w:r w:rsidR="00D25043">
        <w:rPr>
          <w:lang w:val="it-IT"/>
        </w:rPr>
        <w:t>Italy</w:t>
      </w:r>
      <w:proofErr w:type="spellEnd"/>
      <w:r w:rsidR="00D25043">
        <w:rPr>
          <w:lang w:val="it-IT"/>
        </w:rPr>
        <w:t>)</w:t>
      </w:r>
    </w:p>
    <w:p w14:paraId="2D1C8E46" w14:textId="62523C98" w:rsidR="003F5F9D" w:rsidRDefault="00D25043" w:rsidP="00D25043">
      <w:pPr>
        <w:pStyle w:val="Titolo3"/>
        <w:rPr>
          <w:sz w:val="18"/>
          <w:szCs w:val="18"/>
        </w:rPr>
      </w:pPr>
      <w:r>
        <w:t>Valentina.colombo@unimi.it</w:t>
      </w:r>
      <w:r>
        <w:rPr>
          <w:lang w:eastAsia="de-DE"/>
        </w:rPr>
        <w:br/>
      </w:r>
    </w:p>
    <w:p w14:paraId="7B3D8951" w14:textId="5C9E5FE2" w:rsidR="00D25043" w:rsidRPr="00D25043" w:rsidRDefault="00D25043" w:rsidP="00D25043">
      <w:pPr>
        <w:pStyle w:val="Titolo3"/>
        <w:jc w:val="both"/>
        <w:rPr>
          <w:bCs w:val="0"/>
          <w:i w:val="0"/>
          <w:szCs w:val="20"/>
          <w:lang w:eastAsia="de-DE"/>
        </w:rPr>
      </w:pPr>
      <w:r w:rsidRPr="00D25043">
        <w:rPr>
          <w:bCs w:val="0"/>
          <w:i w:val="0"/>
          <w:szCs w:val="20"/>
          <w:lang w:eastAsia="de-DE"/>
        </w:rPr>
        <w:t xml:space="preserve">Understanding the adsorption properties of porous materials hinges on the ability to unravel their structural and electronic response to guest molecules. In particular, metal–organic frameworks (MOFs) offer a unique platform for designing materials with selective adsorption properties and tailored active sites. However, the role of coordinatively unsaturated metal </w:t>
      </w:r>
      <w:proofErr w:type="spellStart"/>
      <w:r w:rsidRPr="00D25043">
        <w:rPr>
          <w:bCs w:val="0"/>
          <w:i w:val="0"/>
          <w:szCs w:val="20"/>
          <w:lang w:eastAsia="de-DE"/>
        </w:rPr>
        <w:t>centers</w:t>
      </w:r>
      <w:proofErr w:type="spellEnd"/>
      <w:r w:rsidRPr="00D25043">
        <w:rPr>
          <w:bCs w:val="0"/>
          <w:i w:val="0"/>
          <w:szCs w:val="20"/>
          <w:lang w:eastAsia="de-DE"/>
        </w:rPr>
        <w:t>, specific adsorption sites, and guest-induced structural dynamics often remains elusive.</w:t>
      </w:r>
    </w:p>
    <w:p w14:paraId="02C9D0E1" w14:textId="7E4214A0" w:rsidR="00D25043" w:rsidRPr="00D25043" w:rsidRDefault="00D25043" w:rsidP="00D25043">
      <w:pPr>
        <w:pStyle w:val="Titolo3"/>
        <w:jc w:val="both"/>
        <w:rPr>
          <w:bCs w:val="0"/>
          <w:i w:val="0"/>
          <w:szCs w:val="20"/>
          <w:lang w:eastAsia="de-DE"/>
        </w:rPr>
      </w:pPr>
      <w:r w:rsidRPr="00D25043">
        <w:rPr>
          <w:bCs w:val="0"/>
          <w:i w:val="0"/>
          <w:szCs w:val="20"/>
          <w:lang w:eastAsia="de-DE"/>
        </w:rPr>
        <w:t xml:space="preserve">In this lecture, I will present how our research leverages </w:t>
      </w:r>
      <w:r w:rsidRPr="00384F4B">
        <w:rPr>
          <w:bCs w:val="0"/>
          <w:iCs/>
          <w:szCs w:val="20"/>
          <w:lang w:eastAsia="de-DE"/>
        </w:rPr>
        <w:t>in situ</w:t>
      </w:r>
      <w:r w:rsidRPr="00D25043">
        <w:rPr>
          <w:bCs w:val="0"/>
          <w:i w:val="0"/>
          <w:szCs w:val="20"/>
          <w:lang w:eastAsia="de-DE"/>
        </w:rPr>
        <w:t xml:space="preserve"> and </w:t>
      </w:r>
      <w:r w:rsidRPr="00384F4B">
        <w:rPr>
          <w:bCs w:val="0"/>
          <w:iCs/>
          <w:szCs w:val="20"/>
          <w:lang w:eastAsia="de-DE"/>
        </w:rPr>
        <w:t>operando</w:t>
      </w:r>
      <w:r w:rsidRPr="00D25043">
        <w:rPr>
          <w:bCs w:val="0"/>
          <w:i w:val="0"/>
          <w:szCs w:val="20"/>
          <w:lang w:eastAsia="de-DE"/>
        </w:rPr>
        <w:t xml:space="preserve"> crystallographic and spectroscopic techniques</w:t>
      </w:r>
      <w:r>
        <w:rPr>
          <w:bCs w:val="0"/>
          <w:i w:val="0"/>
          <w:szCs w:val="20"/>
          <w:lang w:eastAsia="de-DE"/>
        </w:rPr>
        <w:t xml:space="preserve"> - </w:t>
      </w:r>
      <w:r w:rsidRPr="00D25043">
        <w:rPr>
          <w:bCs w:val="0"/>
          <w:i w:val="0"/>
          <w:szCs w:val="20"/>
          <w:lang w:eastAsia="de-DE"/>
        </w:rPr>
        <w:t>often in tandem</w:t>
      </w:r>
      <w:r>
        <w:rPr>
          <w:bCs w:val="0"/>
          <w:i w:val="0"/>
          <w:szCs w:val="20"/>
          <w:lang w:eastAsia="de-DE"/>
        </w:rPr>
        <w:t xml:space="preserve"> - </w:t>
      </w:r>
      <w:r w:rsidRPr="00D25043">
        <w:rPr>
          <w:bCs w:val="0"/>
          <w:i w:val="0"/>
          <w:szCs w:val="20"/>
          <w:lang w:eastAsia="de-DE"/>
        </w:rPr>
        <w:t>to uncover the structure–function relationships governing adsorption and catalysis in MOFs. By combining variable-pressure powder X-ray diffraction (PXRD), X-ray absorption spectroscopy (XAS), and custom-designed experimental setups, we gain simultaneous insights into both long-range order and local electronic/structural environments.</w:t>
      </w:r>
    </w:p>
    <w:p w14:paraId="319D2941" w14:textId="2FCD8C98" w:rsidR="00D25043" w:rsidRPr="00D25043" w:rsidRDefault="00D25043" w:rsidP="00D25043">
      <w:pPr>
        <w:pStyle w:val="Titolo3"/>
        <w:jc w:val="both"/>
        <w:rPr>
          <w:bCs w:val="0"/>
          <w:i w:val="0"/>
          <w:szCs w:val="20"/>
          <w:lang w:eastAsia="de-DE"/>
        </w:rPr>
      </w:pPr>
      <w:r w:rsidRPr="00D25043">
        <w:rPr>
          <w:bCs w:val="0"/>
          <w:i w:val="0"/>
          <w:szCs w:val="20"/>
          <w:lang w:eastAsia="de-DE"/>
        </w:rPr>
        <w:t>Recent studies will illustrate: (</w:t>
      </w:r>
      <w:proofErr w:type="spellStart"/>
      <w:r w:rsidRPr="00D25043">
        <w:rPr>
          <w:bCs w:val="0"/>
          <w:i w:val="0"/>
          <w:szCs w:val="20"/>
          <w:lang w:eastAsia="de-DE"/>
        </w:rPr>
        <w:t>i</w:t>
      </w:r>
      <w:proofErr w:type="spellEnd"/>
      <w:r w:rsidRPr="00D25043">
        <w:rPr>
          <w:bCs w:val="0"/>
          <w:i w:val="0"/>
          <w:szCs w:val="20"/>
          <w:lang w:eastAsia="de-DE"/>
        </w:rPr>
        <w:t>) the in situ detection of preferential adsorption sites for CO₂ under humid conditions; (</w:t>
      </w:r>
      <w:proofErr w:type="spellStart"/>
      <w:r w:rsidRPr="00D25043">
        <w:rPr>
          <w:bCs w:val="0"/>
          <w:i w:val="0"/>
          <w:szCs w:val="20"/>
          <w:lang w:eastAsia="de-DE"/>
        </w:rPr>
        <w:t>i</w:t>
      </w:r>
      <w:proofErr w:type="spellEnd"/>
      <w:r w:rsidRPr="00D25043">
        <w:rPr>
          <w:bCs w:val="0"/>
          <w:i w:val="0"/>
          <w:szCs w:val="20"/>
          <w:lang w:eastAsia="de-DE"/>
        </w:rPr>
        <w:t>) the combined use of PXRD and XAS to monitor structural evolution during gas uptake</w:t>
      </w:r>
      <w:r w:rsidR="00384F4B">
        <w:rPr>
          <w:bCs w:val="0"/>
          <w:i w:val="0"/>
          <w:szCs w:val="20"/>
          <w:lang w:eastAsia="de-DE"/>
        </w:rPr>
        <w:t xml:space="preserve"> and surface defective sites</w:t>
      </w:r>
      <w:r w:rsidRPr="00D25043">
        <w:rPr>
          <w:bCs w:val="0"/>
          <w:i w:val="0"/>
          <w:szCs w:val="20"/>
          <w:lang w:eastAsia="de-DE"/>
        </w:rPr>
        <w:t>; and (ii) a new approach to derive thermodynamic and structural parameters</w:t>
      </w:r>
      <w:r>
        <w:rPr>
          <w:bCs w:val="0"/>
          <w:i w:val="0"/>
          <w:szCs w:val="20"/>
          <w:lang w:eastAsia="de-DE"/>
        </w:rPr>
        <w:t xml:space="preserve">, </w:t>
      </w:r>
      <w:r w:rsidRPr="00D25043">
        <w:rPr>
          <w:bCs w:val="0"/>
          <w:i w:val="0"/>
          <w:szCs w:val="20"/>
          <w:lang w:eastAsia="de-DE"/>
        </w:rPr>
        <w:t>such as the heat of adsorption and host–guest interactions</w:t>
      </w:r>
      <w:r>
        <w:rPr>
          <w:bCs w:val="0"/>
          <w:i w:val="0"/>
          <w:szCs w:val="20"/>
          <w:lang w:eastAsia="de-DE"/>
        </w:rPr>
        <w:t xml:space="preserve">, </w:t>
      </w:r>
      <w:r w:rsidRPr="00D25043">
        <w:rPr>
          <w:bCs w:val="0"/>
          <w:i w:val="0"/>
          <w:szCs w:val="20"/>
          <w:lang w:eastAsia="de-DE"/>
        </w:rPr>
        <w:t>directly from PXRD-derived CO₂ isotherms via ab initio structure solution and Rietveld refinement.</w:t>
      </w:r>
    </w:p>
    <w:p w14:paraId="10AB40B0" w14:textId="77777777" w:rsidR="00D25043" w:rsidRDefault="00D25043" w:rsidP="00D25043">
      <w:r w:rsidRPr="00D25043">
        <w:t>These results demonstrate how an integrated, multi-technique approach can advance the understanding of responsive porous materials</w:t>
      </w:r>
      <w:r>
        <w:t>.</w:t>
      </w:r>
      <w:r w:rsidRPr="00D25043">
        <w:t xml:space="preserve"> and guide the design of next-generation adsorbents.</w:t>
      </w:r>
      <w:r w:rsidR="00000000">
        <w:pict w14:anchorId="683E5E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2" o:spid="_x0000_s1027" type="#_x0000_t75" style="position:absolute;left:0;text-align:left;margin-left:0;margin-top:0;width:50pt;height:50pt;z-index:1;visibility:hidden;mso-position-horizontal-relative:text;mso-position-vertical-relative:text">
            <o:lock v:ext="edit" selection="t"/>
          </v:shape>
        </w:pict>
      </w:r>
    </w:p>
    <w:p w14:paraId="0A2377B1" w14:textId="77777777" w:rsidR="00D25043" w:rsidRDefault="00D25043" w:rsidP="00D25043"/>
    <w:p w14:paraId="53F51050" w14:textId="6796AF6C" w:rsidR="003F5F9D" w:rsidRDefault="00D25043" w:rsidP="00D25043">
      <w:r>
        <w:t xml:space="preserve"> </w:t>
      </w:r>
      <w:r w:rsidR="00384F4B" w:rsidRPr="00384F4B">
        <w:pict w14:anchorId="30503375">
          <v:shape id="_x0000_i1025" type="#_x0000_t75" style="width:539pt;height:141.05pt">
            <v:imagedata r:id="rId7" o:title=""/>
          </v:shape>
        </w:pict>
      </w:r>
    </w:p>
    <w:p w14:paraId="64BCD522" w14:textId="30E8FB30" w:rsidR="00E237D4" w:rsidRPr="00E237D4" w:rsidRDefault="00000000" w:rsidP="00E237D4">
      <w:pPr>
        <w:pStyle w:val="MainText"/>
        <w:spacing w:line="240" w:lineRule="auto"/>
        <w:jc w:val="both"/>
        <w:rPr>
          <w:sz w:val="20"/>
          <w:szCs w:val="20"/>
        </w:rPr>
      </w:pPr>
      <w:r w:rsidRPr="00E237D4">
        <w:rPr>
          <w:b/>
          <w:sz w:val="20"/>
          <w:szCs w:val="20"/>
        </w:rPr>
        <w:t>Figure 1</w:t>
      </w:r>
      <w:r w:rsidRPr="00E237D4">
        <w:rPr>
          <w:sz w:val="20"/>
          <w:szCs w:val="20"/>
        </w:rPr>
        <w:t xml:space="preserve">. </w:t>
      </w:r>
      <w:r w:rsidR="00E237D4" w:rsidRPr="00E237D4">
        <w:rPr>
          <w:sz w:val="20"/>
          <w:szCs w:val="20"/>
        </w:rPr>
        <w:t xml:space="preserve">Structural response and adsorption behavior of </w:t>
      </w:r>
      <w:proofErr w:type="spellStart"/>
      <w:r w:rsidR="00E237D4" w:rsidRPr="00E237D4">
        <w:rPr>
          <w:sz w:val="20"/>
          <w:szCs w:val="20"/>
        </w:rPr>
        <w:t>FeBDP</w:t>
      </w:r>
      <w:proofErr w:type="spellEnd"/>
      <w:r w:rsidR="00E237D4" w:rsidRPr="00E237D4">
        <w:rPr>
          <w:sz w:val="20"/>
          <w:szCs w:val="20"/>
        </w:rPr>
        <w:t xml:space="preserve"> upon CO₂ loading revealed by Rietveld refinement: torsional flexibility, host–guest interactions, refined isotherms, and isosteric heat comparison.</w:t>
      </w:r>
    </w:p>
    <w:p w14:paraId="7B7FB283" w14:textId="3B495C42" w:rsidR="003F5F9D" w:rsidRPr="00384F4B" w:rsidRDefault="003F5F9D">
      <w:pPr>
        <w:pStyle w:val="Titolo6"/>
        <w:rPr>
          <w:lang w:val="en-US"/>
        </w:rPr>
      </w:pPr>
    </w:p>
    <w:p w14:paraId="6CF0498B" w14:textId="77777777" w:rsidR="003F5F9D" w:rsidRDefault="003F5F9D">
      <w:pPr>
        <w:rPr>
          <w:lang w:eastAsia="cs-CZ"/>
        </w:rPr>
      </w:pPr>
    </w:p>
    <w:p w14:paraId="5D84FB09" w14:textId="7DCCD610" w:rsidR="00E237D4" w:rsidRPr="00E237D4" w:rsidRDefault="00000000">
      <w:pPr>
        <w:pStyle w:val="Titolo4"/>
        <w:rPr>
          <w:lang w:val="it-IT"/>
        </w:rPr>
      </w:pPr>
      <w:r w:rsidRPr="00E237D4">
        <w:rPr>
          <w:lang w:val="it-IT"/>
        </w:rPr>
        <w:t xml:space="preserve">[1] </w:t>
      </w:r>
      <w:r w:rsidR="00E237D4" w:rsidRPr="00E237D4">
        <w:rPr>
          <w:lang w:val="it-IT"/>
        </w:rPr>
        <w:t xml:space="preserve">Vismara, R.; Terruzzi, S.; Maspero, A.; Grell, T.; Bossola, F.; Sironi, A.; Galli, G.; Navarro, J.A.R.; Colombo, V. </w:t>
      </w:r>
      <w:r w:rsidR="00E237D4" w:rsidRPr="00E237D4">
        <w:rPr>
          <w:lang w:val="it-IT"/>
        </w:rPr>
        <w:t>(</w:t>
      </w:r>
      <w:r w:rsidR="00E237D4" w:rsidRPr="00E237D4">
        <w:rPr>
          <w:lang w:val="it-IT"/>
        </w:rPr>
        <w:t>2024</w:t>
      </w:r>
      <w:r w:rsidR="00E237D4" w:rsidRPr="00E237D4">
        <w:rPr>
          <w:lang w:val="it-IT"/>
        </w:rPr>
        <w:t>)</w:t>
      </w:r>
      <w:r w:rsidR="00E237D4" w:rsidRPr="00E237D4">
        <w:rPr>
          <w:lang w:val="it-IT"/>
        </w:rPr>
        <w:t xml:space="preserve"> </w:t>
      </w:r>
      <w:r w:rsidR="00E237D4" w:rsidRPr="00E237D4">
        <w:rPr>
          <w:i/>
          <w:iCs/>
          <w:lang w:val="it-IT"/>
        </w:rPr>
        <w:t xml:space="preserve">Advanced </w:t>
      </w:r>
      <w:proofErr w:type="spellStart"/>
      <w:r w:rsidR="00E237D4" w:rsidRPr="00E237D4">
        <w:rPr>
          <w:i/>
          <w:iCs/>
          <w:lang w:val="it-IT"/>
        </w:rPr>
        <w:t>Materials</w:t>
      </w:r>
      <w:proofErr w:type="spellEnd"/>
      <w:r w:rsidR="00E237D4">
        <w:rPr>
          <w:lang w:val="it-IT"/>
        </w:rPr>
        <w:t xml:space="preserve">, </w:t>
      </w:r>
      <w:r w:rsidR="00E237D4" w:rsidRPr="00E237D4">
        <w:rPr>
          <w:b/>
          <w:bCs w:val="0"/>
          <w:lang w:val="it-IT"/>
        </w:rPr>
        <w:t>36</w:t>
      </w:r>
      <w:r w:rsidR="00E237D4" w:rsidRPr="00E237D4">
        <w:rPr>
          <w:lang w:val="it-IT"/>
        </w:rPr>
        <w:t>, 2209907</w:t>
      </w:r>
    </w:p>
    <w:p w14:paraId="0AF2363D" w14:textId="72D43612" w:rsidR="003F5F9D" w:rsidRPr="00E237D4" w:rsidRDefault="00000000">
      <w:pPr>
        <w:pStyle w:val="Titolo4"/>
        <w:rPr>
          <w:lang w:val="it-IT"/>
        </w:rPr>
      </w:pPr>
      <w:r w:rsidRPr="00E237D4">
        <w:rPr>
          <w:lang w:val="it-IT"/>
        </w:rPr>
        <w:t xml:space="preserve">[2] </w:t>
      </w:r>
      <w:proofErr w:type="spellStart"/>
      <w:r w:rsidR="00E237D4" w:rsidRPr="00E237D4">
        <w:rPr>
          <w:lang w:val="it-IT"/>
        </w:rPr>
        <w:t>Tofoni</w:t>
      </w:r>
      <w:proofErr w:type="spellEnd"/>
      <w:r w:rsidR="00E237D4" w:rsidRPr="00E237D4">
        <w:rPr>
          <w:lang w:val="it-IT"/>
        </w:rPr>
        <w:t>, A.; Tavani, F.; Vandone, M.; Braglia, L.; Borfecchia, E.; Ghigna, P.; Stoian, D.C.; Grell, T.; Stolfi, S.; Colombo, V.; D’Angelo P.</w:t>
      </w:r>
      <w:r w:rsidR="00E237D4">
        <w:rPr>
          <w:lang w:val="it-IT"/>
        </w:rPr>
        <w:t xml:space="preserve"> (2023)</w:t>
      </w:r>
      <w:r w:rsidR="00E237D4" w:rsidRPr="00E237D4">
        <w:rPr>
          <w:lang w:val="it-IT"/>
        </w:rPr>
        <w:t xml:space="preserve"> </w:t>
      </w:r>
      <w:r w:rsidR="00E237D4" w:rsidRPr="00E237D4">
        <w:rPr>
          <w:i/>
          <w:iCs/>
          <w:lang w:val="it-IT"/>
        </w:rPr>
        <w:t xml:space="preserve">J. </w:t>
      </w:r>
      <w:proofErr w:type="spellStart"/>
      <w:r w:rsidR="00E237D4" w:rsidRPr="00E237D4">
        <w:rPr>
          <w:i/>
          <w:iCs/>
          <w:lang w:val="it-IT"/>
        </w:rPr>
        <w:t>Am</w:t>
      </w:r>
      <w:proofErr w:type="spellEnd"/>
      <w:r w:rsidR="00E237D4" w:rsidRPr="00E237D4">
        <w:rPr>
          <w:i/>
          <w:iCs/>
          <w:lang w:val="it-IT"/>
        </w:rPr>
        <w:t xml:space="preserve">. </w:t>
      </w:r>
      <w:proofErr w:type="spellStart"/>
      <w:r w:rsidR="00E237D4" w:rsidRPr="00E237D4">
        <w:rPr>
          <w:i/>
          <w:iCs/>
          <w:lang w:val="it-IT"/>
        </w:rPr>
        <w:t>Chem</w:t>
      </w:r>
      <w:proofErr w:type="spellEnd"/>
      <w:r w:rsidR="00E237D4" w:rsidRPr="00E237D4">
        <w:rPr>
          <w:i/>
          <w:iCs/>
          <w:lang w:val="it-IT"/>
        </w:rPr>
        <w:t xml:space="preserve">. </w:t>
      </w:r>
      <w:proofErr w:type="spellStart"/>
      <w:r w:rsidR="00E237D4" w:rsidRPr="00E237D4">
        <w:rPr>
          <w:i/>
          <w:iCs/>
          <w:lang w:val="it-IT"/>
        </w:rPr>
        <w:t>Soc</w:t>
      </w:r>
      <w:proofErr w:type="spellEnd"/>
      <w:r w:rsidR="00E237D4" w:rsidRPr="00E237D4">
        <w:rPr>
          <w:i/>
          <w:iCs/>
          <w:lang w:val="it-IT"/>
        </w:rPr>
        <w:t>.</w:t>
      </w:r>
      <w:r w:rsidR="00E237D4" w:rsidRPr="00E237D4">
        <w:rPr>
          <w:lang w:val="it-IT"/>
        </w:rPr>
        <w:t xml:space="preserve"> </w:t>
      </w:r>
      <w:r w:rsidR="00E237D4" w:rsidRPr="00E237D4">
        <w:rPr>
          <w:b/>
          <w:bCs w:val="0"/>
          <w:lang w:val="it-IT"/>
        </w:rPr>
        <w:t>145</w:t>
      </w:r>
      <w:r w:rsidR="00E237D4" w:rsidRPr="00E237D4">
        <w:rPr>
          <w:lang w:val="it-IT"/>
        </w:rPr>
        <w:t>, 38, 21040</w:t>
      </w:r>
      <w:r w:rsidR="00E237D4">
        <w:rPr>
          <w:lang w:val="it-IT"/>
        </w:rPr>
        <w:t>.</w:t>
      </w:r>
    </w:p>
    <w:p w14:paraId="09177B42" w14:textId="75665B94" w:rsidR="003F5F9D" w:rsidRPr="00E237D4" w:rsidRDefault="00000000">
      <w:pPr>
        <w:pStyle w:val="Titolo4"/>
        <w:rPr>
          <w:lang w:val="it-IT"/>
        </w:rPr>
      </w:pPr>
      <w:r w:rsidRPr="00E237D4">
        <w:rPr>
          <w:lang w:val="it-IT"/>
        </w:rPr>
        <w:t xml:space="preserve">[3] </w:t>
      </w:r>
      <w:r w:rsidR="00E237D4" w:rsidRPr="00E237D4">
        <w:rPr>
          <w:lang w:val="it-IT"/>
        </w:rPr>
        <w:t xml:space="preserve">Braglia, L.; Tavani, F.; Mauri, S.; </w:t>
      </w:r>
      <w:proofErr w:type="spellStart"/>
      <w:r w:rsidR="00E237D4" w:rsidRPr="00E237D4">
        <w:rPr>
          <w:lang w:val="it-IT"/>
        </w:rPr>
        <w:t>Edla</w:t>
      </w:r>
      <w:proofErr w:type="spellEnd"/>
      <w:r w:rsidR="00E237D4" w:rsidRPr="00E237D4">
        <w:rPr>
          <w:lang w:val="it-IT"/>
        </w:rPr>
        <w:t xml:space="preserve">, R.; </w:t>
      </w:r>
      <w:proofErr w:type="spellStart"/>
      <w:r w:rsidR="00E237D4" w:rsidRPr="00E237D4">
        <w:rPr>
          <w:lang w:val="it-IT"/>
        </w:rPr>
        <w:t>Krizmancic</w:t>
      </w:r>
      <w:proofErr w:type="spellEnd"/>
      <w:r w:rsidR="00E237D4" w:rsidRPr="00E237D4">
        <w:rPr>
          <w:lang w:val="it-IT"/>
        </w:rPr>
        <w:t xml:space="preserve">, D.; </w:t>
      </w:r>
      <w:proofErr w:type="spellStart"/>
      <w:r w:rsidR="00E237D4" w:rsidRPr="00E237D4">
        <w:rPr>
          <w:lang w:val="it-IT"/>
        </w:rPr>
        <w:t>Tofoni</w:t>
      </w:r>
      <w:proofErr w:type="spellEnd"/>
      <w:r w:rsidR="00E237D4" w:rsidRPr="00E237D4">
        <w:rPr>
          <w:lang w:val="it-IT"/>
        </w:rPr>
        <w:t xml:space="preserve">, A.; Colombo, V.; D’Angelo, P.; Torelli, P. </w:t>
      </w:r>
      <w:r w:rsidR="00E237D4">
        <w:rPr>
          <w:lang w:val="it-IT"/>
        </w:rPr>
        <w:t xml:space="preserve">(2021) </w:t>
      </w:r>
      <w:r w:rsidR="00E237D4" w:rsidRPr="00E237D4">
        <w:rPr>
          <w:i/>
          <w:iCs/>
          <w:lang w:val="it-IT"/>
        </w:rPr>
        <w:t xml:space="preserve">J. of </w:t>
      </w:r>
      <w:proofErr w:type="spellStart"/>
      <w:r w:rsidR="00E237D4" w:rsidRPr="00E237D4">
        <w:rPr>
          <w:i/>
          <w:iCs/>
          <w:lang w:val="it-IT"/>
        </w:rPr>
        <w:t>Phys</w:t>
      </w:r>
      <w:proofErr w:type="spellEnd"/>
      <w:r w:rsidR="00E237D4" w:rsidRPr="00E237D4">
        <w:rPr>
          <w:i/>
          <w:iCs/>
          <w:lang w:val="it-IT"/>
        </w:rPr>
        <w:t xml:space="preserve">. </w:t>
      </w:r>
      <w:proofErr w:type="spellStart"/>
      <w:r w:rsidR="00E237D4" w:rsidRPr="00E237D4">
        <w:rPr>
          <w:i/>
          <w:iCs/>
          <w:lang w:val="it-IT"/>
        </w:rPr>
        <w:t>Chem</w:t>
      </w:r>
      <w:proofErr w:type="spellEnd"/>
      <w:r w:rsidR="00E237D4" w:rsidRPr="00E237D4">
        <w:rPr>
          <w:i/>
          <w:iCs/>
          <w:lang w:val="it-IT"/>
        </w:rPr>
        <w:t>. Lett.</w:t>
      </w:r>
      <w:r w:rsidR="00E237D4" w:rsidRPr="00E237D4">
        <w:rPr>
          <w:lang w:val="it-IT"/>
        </w:rPr>
        <w:t xml:space="preserve"> </w:t>
      </w:r>
      <w:r w:rsidR="00E237D4" w:rsidRPr="00E237D4">
        <w:rPr>
          <w:b/>
          <w:bCs w:val="0"/>
          <w:lang w:val="it-IT"/>
        </w:rPr>
        <w:t>12</w:t>
      </w:r>
      <w:r w:rsidR="00E237D4">
        <w:rPr>
          <w:lang w:val="it-IT"/>
        </w:rPr>
        <w:t>,</w:t>
      </w:r>
      <w:r w:rsidR="00E237D4" w:rsidRPr="00E237D4">
        <w:rPr>
          <w:lang w:val="it-IT"/>
        </w:rPr>
        <w:t xml:space="preserve"> 9182</w:t>
      </w:r>
      <w:r w:rsidR="00E237D4">
        <w:rPr>
          <w:lang w:val="it-IT"/>
        </w:rPr>
        <w:t>.</w:t>
      </w:r>
    </w:p>
    <w:p w14:paraId="0D5746A8" w14:textId="06B2DA39" w:rsidR="003F5F9D" w:rsidRPr="00E237D4" w:rsidRDefault="003F5F9D">
      <w:pPr>
        <w:pStyle w:val="Acknowledgement"/>
        <w:rPr>
          <w:lang w:val="it-IT"/>
        </w:rPr>
      </w:pPr>
    </w:p>
    <w:sectPr w:rsidR="003F5F9D" w:rsidRPr="00E237D4">
      <w:headerReference w:type="default" r:id="rId8"/>
      <w:footerReference w:type="default" r:id="rId9"/>
      <w:pgSz w:w="12240" w:h="15840"/>
      <w:pgMar w:top="765" w:right="720" w:bottom="765" w:left="720" w:header="708" w:footer="708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0ED1F" w14:textId="77777777" w:rsidR="00106CB0" w:rsidRDefault="00106CB0">
      <w:pPr>
        <w:spacing w:after="0"/>
      </w:pPr>
      <w:r>
        <w:separator/>
      </w:r>
    </w:p>
  </w:endnote>
  <w:endnote w:type="continuationSeparator" w:id="0">
    <w:p w14:paraId="538AE288" w14:textId="77777777" w:rsidR="00106CB0" w:rsidRDefault="00106CB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12090" w14:textId="77777777" w:rsidR="003F5F9D" w:rsidRDefault="00000000">
    <w:pPr>
      <w:pStyle w:val="Pidipagina"/>
    </w:pPr>
    <w:r>
      <w:t xml:space="preserve">Acta </w:t>
    </w:r>
    <w:proofErr w:type="spellStart"/>
    <w:r>
      <w:t>Cryst</w:t>
    </w:r>
    <w:proofErr w:type="spellEnd"/>
    <w:r>
      <w:t>. (2025). A81, e1</w:t>
    </w:r>
  </w:p>
  <w:p w14:paraId="57CB12DF" w14:textId="77777777" w:rsidR="003F5F9D" w:rsidRDefault="003F5F9D">
    <w:pPr>
      <w:tabs>
        <w:tab w:val="center" w:pos="4703"/>
        <w:tab w:val="right" w:pos="94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B92CA" w14:textId="77777777" w:rsidR="00106CB0" w:rsidRDefault="00106CB0">
      <w:pPr>
        <w:spacing w:after="0"/>
      </w:pPr>
      <w:r>
        <w:separator/>
      </w:r>
    </w:p>
  </w:footnote>
  <w:footnote w:type="continuationSeparator" w:id="0">
    <w:p w14:paraId="4E5CCD77" w14:textId="77777777" w:rsidR="00106CB0" w:rsidRDefault="00106CB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493EF" w14:textId="77777777" w:rsidR="003F5F9D" w:rsidRDefault="00000000">
    <w:pPr>
      <w:tabs>
        <w:tab w:val="center" w:pos="4703"/>
        <w:tab w:val="right" w:pos="9406"/>
      </w:tabs>
    </w:pPr>
    <w:r>
      <w:rPr>
        <w:b/>
        <w:bCs/>
      </w:rPr>
      <w:t>MS</w:t>
    </w:r>
    <w:r>
      <w:tab/>
    </w:r>
    <w:proofErr w:type="spellStart"/>
    <w:r>
      <w:rPr>
        <w:b/>
        <w:bCs/>
      </w:rPr>
      <w:t>Microsymposium</w:t>
    </w:r>
    <w:proofErr w:type="spellEnd"/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/>
  <w:doNotTrackMove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F5F9D"/>
    <w:rsid w:val="00106CB0"/>
    <w:rsid w:val="00384F4B"/>
    <w:rsid w:val="003F5F9D"/>
    <w:rsid w:val="006F55E6"/>
    <w:rsid w:val="0077767E"/>
    <w:rsid w:val="00C60059"/>
    <w:rsid w:val="00D25043"/>
    <w:rsid w:val="00E23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1C18DC9"/>
  <w15:docId w15:val="{37C0EABC-388D-46DF-B855-DE30B7047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25275"/>
    <w:pPr>
      <w:suppressAutoHyphens/>
      <w:spacing w:after="120"/>
      <w:jc w:val="both"/>
    </w:pPr>
    <w:rPr>
      <w:lang w:val="en-GB" w:eastAsia="de-DE"/>
    </w:rPr>
  </w:style>
  <w:style w:type="paragraph" w:styleId="Titolo1">
    <w:name w:val="heading 1"/>
    <w:basedOn w:val="Normale"/>
    <w:next w:val="Titolo2"/>
    <w:link w:val="Titolo1Carattere"/>
    <w:uiPriority w:val="99"/>
    <w:qFormat/>
    <w:rsid w:val="0092527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Titolo2">
    <w:name w:val="heading 2"/>
    <w:basedOn w:val="Normale"/>
    <w:next w:val="Titolo3"/>
    <w:link w:val="Titolo2Carattere"/>
    <w:uiPriority w:val="99"/>
    <w:qFormat/>
    <w:rsid w:val="00925275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2E03DB"/>
    <w:pPr>
      <w:keepNext/>
      <w:jc w:val="center"/>
      <w:outlineLvl w:val="2"/>
    </w:pPr>
    <w:rPr>
      <w:bCs/>
      <w:i/>
      <w:szCs w:val="24"/>
      <w:lang w:eastAsia="cs-CZ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FF732E"/>
    <w:pPr>
      <w:keepNext/>
      <w:ind w:left="567" w:hanging="567"/>
      <w:outlineLvl w:val="3"/>
    </w:pPr>
    <w:rPr>
      <w:bCs/>
      <w:sz w:val="18"/>
      <w:szCs w:val="24"/>
      <w:lang w:eastAsia="cs-CZ"/>
    </w:rPr>
  </w:style>
  <w:style w:type="paragraph" w:styleId="Titolo5">
    <w:name w:val="heading 5"/>
    <w:basedOn w:val="Titolo6"/>
    <w:next w:val="Normale"/>
    <w:link w:val="Titolo5Carattere"/>
    <w:uiPriority w:val="9"/>
    <w:unhideWhenUsed/>
    <w:qFormat/>
    <w:rsid w:val="00605A18"/>
    <w:pPr>
      <w:outlineLvl w:val="4"/>
    </w:pPr>
    <w:rPr>
      <w:b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777DA8"/>
    <w:pPr>
      <w:spacing w:after="60"/>
      <w:jc w:val="center"/>
      <w:outlineLvl w:val="5"/>
    </w:pPr>
    <w:rPr>
      <w:bCs/>
      <w:szCs w:val="2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customStyle="1" w:styleId="Titolo2Carattere">
    <w:name w:val="Titolo 2 Carattere"/>
    <w:link w:val="Titolo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customStyle="1" w:styleId="Titolo3Carattere">
    <w:name w:val="Titolo 3 Carattere"/>
    <w:link w:val="Titolo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customStyle="1" w:styleId="Titolo4Carattere">
    <w:name w:val="Titolo 4 Carattere"/>
    <w:link w:val="Titolo4"/>
    <w:uiPriority w:val="99"/>
    <w:qFormat/>
    <w:locked/>
    <w:rsid w:val="00FF732E"/>
    <w:rPr>
      <w:bCs/>
      <w:sz w:val="18"/>
      <w:szCs w:val="24"/>
      <w:lang w:val="en-GB"/>
    </w:rPr>
  </w:style>
  <w:style w:type="character" w:customStyle="1" w:styleId="IndirizzoHTMLCarattere">
    <w:name w:val="Indirizzo HTML Carattere"/>
    <w:link w:val="IndirizzoHTML"/>
    <w:uiPriority w:val="99"/>
    <w:semiHidden/>
    <w:qFormat/>
    <w:rsid w:val="005E6DCD"/>
    <w:rPr>
      <w:i/>
      <w:iCs/>
      <w:lang w:val="de-DE" w:eastAsia="de-DE"/>
    </w:rPr>
  </w:style>
  <w:style w:type="character" w:customStyle="1" w:styleId="Titolo5Carattere">
    <w:name w:val="Titolo 5 Carattere"/>
    <w:link w:val="Titolo5"/>
    <w:uiPriority w:val="9"/>
    <w:qFormat/>
    <w:rsid w:val="00605A18"/>
    <w:rPr>
      <w:b/>
      <w:bCs/>
      <w:szCs w:val="22"/>
      <w:lang w:val="en-GB" w:eastAsia="de-DE"/>
    </w:rPr>
  </w:style>
  <w:style w:type="character" w:customStyle="1" w:styleId="Titolo6Carattere">
    <w:name w:val="Titolo 6 Carattere"/>
    <w:link w:val="Titolo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customStyle="1" w:styleId="IntestazioneCarattere">
    <w:name w:val="Intestazione Carattere"/>
    <w:link w:val="Intestazione"/>
    <w:uiPriority w:val="99"/>
    <w:qFormat/>
    <w:rsid w:val="00D13351"/>
    <w:rPr>
      <w:lang w:val="en-GB" w:eastAsia="de-DE"/>
    </w:rPr>
  </w:style>
  <w:style w:type="character" w:customStyle="1" w:styleId="PidipaginaCarattere">
    <w:name w:val="Piè di pagina Carattere"/>
    <w:link w:val="Pidipagina"/>
    <w:uiPriority w:val="99"/>
    <w:qFormat/>
    <w:rsid w:val="00D13351"/>
    <w:rPr>
      <w:lang w:val="en-GB" w:eastAsia="de-DE"/>
    </w:rPr>
  </w:style>
  <w:style w:type="character" w:customStyle="1" w:styleId="TestofumettoCarattere">
    <w:name w:val="Testo fumetto Carattere"/>
    <w:link w:val="Testofumetto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paragraph" w:customStyle="1" w:styleId="Heading">
    <w:name w:val="Heading"/>
    <w:basedOn w:val="Normale"/>
    <w:next w:val="Corpotesto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ohit Devanagari"/>
    </w:rPr>
  </w:style>
  <w:style w:type="paragraph" w:styleId="Didascalia">
    <w:name w:val="caption"/>
    <w:basedOn w:val="Normale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  <w:rPr>
      <w:rFonts w:cs="Lohit Devanagari"/>
    </w:rPr>
  </w:style>
  <w:style w:type="paragraph" w:customStyle="1" w:styleId="Acknowledgement">
    <w:name w:val="Acknowledgement"/>
    <w:basedOn w:val="Normale"/>
    <w:qFormat/>
    <w:rsid w:val="00777DA8"/>
    <w:rPr>
      <w:i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qFormat/>
    <w:rsid w:val="005E6DCD"/>
    <w:rPr>
      <w:i/>
      <w:iCs/>
    </w:rPr>
  </w:style>
  <w:style w:type="paragraph" w:customStyle="1" w:styleId="HeaderandFooter">
    <w:name w:val="Header and Footer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C64DBE"/>
    <w:pPr>
      <w:spacing w:after="0"/>
    </w:pPr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99"/>
    <w:rsid w:val="00C2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384F4B"/>
    <w:pPr>
      <w:suppressAutoHyphens w:val="0"/>
      <w:spacing w:before="100" w:beforeAutospacing="1" w:after="100" w:afterAutospacing="1"/>
      <w:jc w:val="left"/>
    </w:pPr>
    <w:rPr>
      <w:sz w:val="24"/>
      <w:szCs w:val="24"/>
      <w:lang w:val="en-US" w:eastAsia="en-US"/>
    </w:rPr>
  </w:style>
  <w:style w:type="paragraph" w:customStyle="1" w:styleId="MainText">
    <w:name w:val="Main Text"/>
    <w:basedOn w:val="Normale"/>
    <w:link w:val="MainTextChar"/>
    <w:rsid w:val="00E237D4"/>
    <w:pPr>
      <w:suppressAutoHyphens w:val="0"/>
      <w:spacing w:after="0" w:line="480" w:lineRule="auto"/>
      <w:jc w:val="left"/>
    </w:pPr>
    <w:rPr>
      <w:rFonts w:eastAsia="MS Mincho"/>
      <w:sz w:val="24"/>
      <w:szCs w:val="24"/>
      <w:lang w:val="en-US" w:eastAsia="ja-JP"/>
    </w:rPr>
  </w:style>
  <w:style w:type="character" w:customStyle="1" w:styleId="MainTextChar">
    <w:name w:val="Main Text Char"/>
    <w:link w:val="MainText"/>
    <w:rsid w:val="00E237D4"/>
    <w:rPr>
      <w:rFonts w:eastAsia="MS Mincho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9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1E0AE-6DDE-4FDB-AD25-D0DA1D2E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Materials Structure</vt:lpstr>
    </vt:vector>
  </TitlesOfParts>
  <Company>MFF UK</Company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Materials Structure</dc:title>
  <dc:subject/>
  <dc:creator>Uživatel systému Windows</dc:creator>
  <dc:description/>
  <cp:lastModifiedBy>Valentina Colombo</cp:lastModifiedBy>
  <cp:revision>19</cp:revision>
  <dcterms:created xsi:type="dcterms:W3CDTF">2019-09-04T15:26:00Z</dcterms:created>
  <dcterms:modified xsi:type="dcterms:W3CDTF">2025-07-07T10:43:00Z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