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F4FD6" w14:textId="39729140" w:rsidR="00D76C65" w:rsidRPr="00D76C65" w:rsidRDefault="009B6C46" w:rsidP="00D76C65">
      <w:pPr>
        <w:pStyle w:val="Nagwek1"/>
      </w:pPr>
      <w:r>
        <w:t>Potential</w:t>
      </w:r>
      <w:r w:rsidR="000F4450" w:rsidRPr="000F4450">
        <w:t xml:space="preserve"> of mechanochemistry in the preparation of </w:t>
      </w:r>
      <w:r>
        <w:t xml:space="preserve">novel </w:t>
      </w:r>
      <w:r w:rsidR="000F4450" w:rsidRPr="000F4450">
        <w:t>multicomponent supramolecular systems</w:t>
      </w:r>
      <w:r w:rsidR="00D76C65" w:rsidRPr="00D76C65">
        <w:t xml:space="preserve"> containing praziquantel</w:t>
      </w:r>
    </w:p>
    <w:p w14:paraId="725896C7" w14:textId="0570A498" w:rsidR="00780ED1" w:rsidRDefault="00D76C65">
      <w:pPr>
        <w:pStyle w:val="Nagwek2"/>
      </w:pPr>
      <w:r>
        <w:t xml:space="preserve">M. </w:t>
      </w:r>
      <w:r w:rsidR="00846EEA">
        <w:t xml:space="preserve">R. </w:t>
      </w:r>
      <w:r>
        <w:t>Gołdyn</w:t>
      </w:r>
      <w:r w:rsidR="009B6C46">
        <w:t>*</w:t>
      </w:r>
      <w:r>
        <w:rPr>
          <w:vertAlign w:val="superscript"/>
        </w:rPr>
        <w:t>1,2</w:t>
      </w:r>
      <w:r>
        <w:t>, V. Andr</w:t>
      </w:r>
      <w:r w:rsidRPr="00D76C65">
        <w:rPr>
          <w:iCs w:val="0"/>
        </w:rPr>
        <w:t>é</w:t>
      </w:r>
      <w:r>
        <w:rPr>
          <w:iCs w:val="0"/>
          <w:vertAlign w:val="superscript"/>
        </w:rPr>
        <w:t>3,4</w:t>
      </w:r>
      <w:r>
        <w:t>,</w:t>
      </w:r>
      <w:r w:rsidR="00510593">
        <w:t xml:space="preserve"> </w:t>
      </w:r>
      <w:r w:rsidR="00642C7B">
        <w:t>D. Larowska-Zarych</w:t>
      </w:r>
      <w:r w:rsidR="00642C7B">
        <w:rPr>
          <w:vertAlign w:val="superscript"/>
        </w:rPr>
        <w:t>5</w:t>
      </w:r>
      <w:r w:rsidR="00642C7B">
        <w:t>,</w:t>
      </w:r>
      <w:r w:rsidR="00510593">
        <w:t xml:space="preserve"> M. T. Duarte</w:t>
      </w:r>
      <w:r w:rsidR="00510593">
        <w:rPr>
          <w:vertAlign w:val="superscript"/>
        </w:rPr>
        <w:t>3</w:t>
      </w:r>
      <w:r w:rsidR="00510593">
        <w:t xml:space="preserve">, </w:t>
      </w:r>
      <w:r>
        <w:t>A. R. Stefankiewicz</w:t>
      </w:r>
      <w:r>
        <w:rPr>
          <w:vertAlign w:val="superscript"/>
        </w:rPr>
        <w:t>1,2</w:t>
      </w:r>
    </w:p>
    <w:p w14:paraId="4B9D3BE4" w14:textId="258A8782" w:rsidR="00780ED1" w:rsidRPr="00642C7B" w:rsidRDefault="00000000" w:rsidP="00642C7B">
      <w:pPr>
        <w:pStyle w:val="Nagwek3"/>
        <w:rPr>
          <w:rFonts w:eastAsia="SimSun"/>
          <w:kern w:val="2"/>
          <w:sz w:val="18"/>
          <w:szCs w:val="18"/>
          <w:lang w:eastAsia="zh-CN"/>
        </w:rPr>
      </w:pPr>
      <w:r>
        <w:rPr>
          <w:vertAlign w:val="superscript"/>
        </w:rPr>
        <w:t>1</w:t>
      </w:r>
      <w:r w:rsidR="00D76C65" w:rsidRPr="00D76C65">
        <w:rPr>
          <w:rFonts w:eastAsia="SimSun"/>
          <w:kern w:val="2"/>
          <w:sz w:val="18"/>
          <w:szCs w:val="18"/>
          <w:lang w:eastAsia="zh-CN"/>
        </w:rPr>
        <w:t xml:space="preserve"> </w:t>
      </w:r>
      <w:proofErr w:type="spellStart"/>
      <w:r w:rsidR="00D76C65" w:rsidRPr="00D76C65">
        <w:rPr>
          <w:rFonts w:eastAsia="SimSun"/>
          <w:kern w:val="2"/>
          <w:sz w:val="18"/>
          <w:szCs w:val="18"/>
          <w:lang w:eastAsia="zh-CN"/>
        </w:rPr>
        <w:t>Center</w:t>
      </w:r>
      <w:proofErr w:type="spellEnd"/>
      <w:r w:rsidR="00D76C65" w:rsidRPr="00D76C65">
        <w:rPr>
          <w:rFonts w:eastAsia="SimSun"/>
          <w:kern w:val="2"/>
          <w:sz w:val="18"/>
          <w:szCs w:val="18"/>
          <w:lang w:eastAsia="zh-CN"/>
        </w:rPr>
        <w:t xml:space="preserve"> for Advanced Technologies, Adam Mickiewicz University in </w:t>
      </w:r>
      <w:proofErr w:type="spellStart"/>
      <w:r w:rsidR="00D76C65" w:rsidRPr="00D76C65">
        <w:rPr>
          <w:rFonts w:eastAsia="SimSun"/>
          <w:kern w:val="2"/>
          <w:sz w:val="18"/>
          <w:szCs w:val="18"/>
          <w:lang w:eastAsia="zh-CN"/>
        </w:rPr>
        <w:t>Poznań</w:t>
      </w:r>
      <w:proofErr w:type="spellEnd"/>
      <w:r w:rsidR="00D76C65" w:rsidRPr="00D76C65">
        <w:rPr>
          <w:rFonts w:eastAsia="SimSun"/>
          <w:kern w:val="2"/>
          <w:sz w:val="18"/>
          <w:szCs w:val="18"/>
          <w:lang w:eastAsia="zh-CN"/>
        </w:rPr>
        <w:t xml:space="preserve">, Uniwersytetu </w:t>
      </w:r>
      <w:proofErr w:type="spellStart"/>
      <w:r w:rsidR="00D76C65" w:rsidRPr="00D76C65">
        <w:rPr>
          <w:rFonts w:eastAsia="SimSun"/>
          <w:kern w:val="2"/>
          <w:sz w:val="18"/>
          <w:szCs w:val="18"/>
          <w:lang w:eastAsia="zh-CN"/>
        </w:rPr>
        <w:t>Poznańskiego</w:t>
      </w:r>
      <w:proofErr w:type="spellEnd"/>
      <w:r w:rsidR="00D76C65" w:rsidRPr="00D76C65">
        <w:rPr>
          <w:rFonts w:eastAsia="SimSun"/>
          <w:kern w:val="2"/>
          <w:sz w:val="18"/>
          <w:szCs w:val="18"/>
          <w:lang w:eastAsia="zh-CN"/>
        </w:rPr>
        <w:t xml:space="preserve"> 10, </w:t>
      </w:r>
      <w:proofErr w:type="spellStart"/>
      <w:r w:rsidR="00D76C65" w:rsidRPr="00D76C65">
        <w:rPr>
          <w:rFonts w:eastAsia="SimSun"/>
          <w:kern w:val="2"/>
          <w:sz w:val="18"/>
          <w:szCs w:val="18"/>
          <w:lang w:eastAsia="zh-CN"/>
        </w:rPr>
        <w:t>Poznań</w:t>
      </w:r>
      <w:proofErr w:type="spellEnd"/>
      <w:r w:rsidR="00D76C65" w:rsidRPr="00D76C65">
        <w:rPr>
          <w:rFonts w:eastAsia="SimSun"/>
          <w:kern w:val="2"/>
          <w:sz w:val="18"/>
          <w:szCs w:val="18"/>
          <w:lang w:eastAsia="zh-CN"/>
        </w:rPr>
        <w:t xml:space="preserve"> 61-614, Poland</w:t>
      </w:r>
      <w:r>
        <w:t xml:space="preserve">, </w:t>
      </w:r>
      <w:r>
        <w:rPr>
          <w:vertAlign w:val="superscript"/>
        </w:rPr>
        <w:t>2</w:t>
      </w:r>
      <w:r w:rsidR="00D76C65" w:rsidRPr="00D76C65">
        <w:rPr>
          <w:rFonts w:eastAsia="SimSun"/>
          <w:kern w:val="2"/>
          <w:sz w:val="18"/>
          <w:szCs w:val="18"/>
          <w:lang w:eastAsia="zh-CN"/>
        </w:rPr>
        <w:t xml:space="preserve"> Faculty </w:t>
      </w:r>
      <w:r w:rsidR="000F4450">
        <w:rPr>
          <w:rFonts w:eastAsia="SimSun"/>
          <w:kern w:val="2"/>
          <w:sz w:val="18"/>
          <w:szCs w:val="18"/>
          <w:lang w:eastAsia="zh-CN"/>
        </w:rPr>
        <w:br/>
      </w:r>
      <w:r w:rsidR="00D76C65" w:rsidRPr="00D76C65">
        <w:rPr>
          <w:rFonts w:eastAsia="SimSun"/>
          <w:kern w:val="2"/>
          <w:sz w:val="18"/>
          <w:szCs w:val="18"/>
          <w:lang w:eastAsia="zh-CN"/>
        </w:rPr>
        <w:t xml:space="preserve">of Chemistry, Adam Mickiewicz University in </w:t>
      </w:r>
      <w:proofErr w:type="spellStart"/>
      <w:r w:rsidR="00D76C65" w:rsidRPr="00D76C65">
        <w:rPr>
          <w:rFonts w:eastAsia="SimSun"/>
          <w:kern w:val="2"/>
          <w:sz w:val="18"/>
          <w:szCs w:val="18"/>
          <w:lang w:eastAsia="zh-CN"/>
        </w:rPr>
        <w:t>Poznań</w:t>
      </w:r>
      <w:proofErr w:type="spellEnd"/>
      <w:r w:rsidR="00D76C65" w:rsidRPr="00D76C65">
        <w:rPr>
          <w:rFonts w:eastAsia="SimSun"/>
          <w:kern w:val="2"/>
          <w:sz w:val="18"/>
          <w:szCs w:val="18"/>
          <w:lang w:eastAsia="zh-CN"/>
        </w:rPr>
        <w:t xml:space="preserve">, Uniwersytetu </w:t>
      </w:r>
      <w:proofErr w:type="spellStart"/>
      <w:r w:rsidR="00D76C65" w:rsidRPr="00D76C65">
        <w:rPr>
          <w:rFonts w:eastAsia="SimSun"/>
          <w:kern w:val="2"/>
          <w:sz w:val="18"/>
          <w:szCs w:val="18"/>
          <w:lang w:eastAsia="zh-CN"/>
        </w:rPr>
        <w:t>Poznańskiego</w:t>
      </w:r>
      <w:proofErr w:type="spellEnd"/>
      <w:r w:rsidR="00D76C65" w:rsidRPr="00D76C65">
        <w:rPr>
          <w:rFonts w:eastAsia="SimSun"/>
          <w:kern w:val="2"/>
          <w:sz w:val="18"/>
          <w:szCs w:val="18"/>
          <w:lang w:eastAsia="zh-CN"/>
        </w:rPr>
        <w:t xml:space="preserve"> 8, </w:t>
      </w:r>
      <w:proofErr w:type="spellStart"/>
      <w:r w:rsidR="00D76C65" w:rsidRPr="00D76C65">
        <w:rPr>
          <w:rFonts w:eastAsia="SimSun"/>
          <w:kern w:val="2"/>
          <w:sz w:val="18"/>
          <w:szCs w:val="18"/>
          <w:lang w:eastAsia="zh-CN"/>
        </w:rPr>
        <w:t>Poznań</w:t>
      </w:r>
      <w:proofErr w:type="spellEnd"/>
      <w:r w:rsidR="00D76C65" w:rsidRPr="00D76C65">
        <w:rPr>
          <w:rFonts w:eastAsia="SimSun"/>
          <w:kern w:val="2"/>
          <w:sz w:val="18"/>
          <w:szCs w:val="18"/>
          <w:lang w:eastAsia="zh-CN"/>
        </w:rPr>
        <w:t xml:space="preserve"> 61-614, Poland, </w:t>
      </w:r>
      <w:r w:rsidR="00D76C65" w:rsidRPr="00D76C65">
        <w:rPr>
          <w:rFonts w:eastAsia="SimSun"/>
          <w:kern w:val="2"/>
          <w:sz w:val="18"/>
          <w:szCs w:val="18"/>
          <w:vertAlign w:val="superscript"/>
          <w:lang w:eastAsia="zh-CN"/>
        </w:rPr>
        <w:t>3</w:t>
      </w:r>
      <w:r w:rsidR="00D76C65" w:rsidRPr="00D76C65">
        <w:rPr>
          <w:rFonts w:eastAsia="SimSun"/>
          <w:kern w:val="2"/>
          <w:sz w:val="18"/>
          <w:szCs w:val="18"/>
          <w:lang w:eastAsia="zh-CN"/>
        </w:rPr>
        <w:t xml:space="preserve"> Centro de </w:t>
      </w:r>
      <w:proofErr w:type="spellStart"/>
      <w:r w:rsidR="00D76C65" w:rsidRPr="00D76C65">
        <w:rPr>
          <w:rFonts w:eastAsia="SimSun"/>
          <w:kern w:val="2"/>
          <w:sz w:val="18"/>
          <w:szCs w:val="18"/>
          <w:lang w:eastAsia="zh-CN"/>
        </w:rPr>
        <w:t>Química</w:t>
      </w:r>
      <w:proofErr w:type="spellEnd"/>
      <w:r w:rsidR="00D76C65" w:rsidRPr="00D76C65">
        <w:rPr>
          <w:rFonts w:eastAsia="SimSun"/>
          <w:kern w:val="2"/>
          <w:sz w:val="18"/>
          <w:szCs w:val="18"/>
          <w:lang w:eastAsia="zh-CN"/>
        </w:rPr>
        <w:t xml:space="preserve"> </w:t>
      </w:r>
      <w:proofErr w:type="spellStart"/>
      <w:r w:rsidR="00D76C65" w:rsidRPr="00D76C65">
        <w:rPr>
          <w:rFonts w:eastAsia="SimSun"/>
          <w:kern w:val="2"/>
          <w:sz w:val="18"/>
          <w:szCs w:val="18"/>
          <w:lang w:eastAsia="zh-CN"/>
        </w:rPr>
        <w:t>Estrutural</w:t>
      </w:r>
      <w:proofErr w:type="spellEnd"/>
      <w:r w:rsidR="00D76C65" w:rsidRPr="00D76C65">
        <w:rPr>
          <w:rFonts w:eastAsia="SimSun"/>
          <w:kern w:val="2"/>
          <w:sz w:val="18"/>
          <w:szCs w:val="18"/>
          <w:lang w:eastAsia="zh-CN"/>
        </w:rPr>
        <w:t xml:space="preserve">, Institute of Molecular Sciences, Instituto Superior Técnico, </w:t>
      </w:r>
      <w:proofErr w:type="spellStart"/>
      <w:r w:rsidR="00D76C65" w:rsidRPr="00D76C65">
        <w:rPr>
          <w:rFonts w:eastAsia="SimSun"/>
          <w:kern w:val="2"/>
          <w:sz w:val="18"/>
          <w:szCs w:val="18"/>
          <w:lang w:eastAsia="zh-CN"/>
        </w:rPr>
        <w:t>Universidade</w:t>
      </w:r>
      <w:proofErr w:type="spellEnd"/>
      <w:r w:rsidR="00D76C65" w:rsidRPr="00D76C65">
        <w:rPr>
          <w:rFonts w:eastAsia="SimSun"/>
          <w:kern w:val="2"/>
          <w:sz w:val="18"/>
          <w:szCs w:val="18"/>
          <w:lang w:eastAsia="zh-CN"/>
        </w:rPr>
        <w:t xml:space="preserve"> de Lisboa, Av. </w:t>
      </w:r>
      <w:r w:rsidR="00D76C65" w:rsidRPr="0073188F">
        <w:rPr>
          <w:rFonts w:eastAsia="SimSun"/>
          <w:kern w:val="2"/>
          <w:sz w:val="18"/>
          <w:szCs w:val="18"/>
          <w:lang w:val="pt-PT" w:eastAsia="zh-CN"/>
        </w:rPr>
        <w:t>Rovisco Pais, 1049-001 Lisboa, Portugal</w:t>
      </w:r>
      <w:r w:rsidR="00D76C65">
        <w:rPr>
          <w:rFonts w:eastAsia="SimSun"/>
          <w:kern w:val="2"/>
          <w:sz w:val="18"/>
          <w:szCs w:val="18"/>
          <w:lang w:val="pt-PT" w:eastAsia="zh-CN"/>
        </w:rPr>
        <w:t xml:space="preserve">, </w:t>
      </w:r>
      <w:r w:rsidR="00D76C65">
        <w:rPr>
          <w:rFonts w:eastAsia="SimSun"/>
          <w:kern w:val="2"/>
          <w:sz w:val="18"/>
          <w:szCs w:val="18"/>
          <w:vertAlign w:val="superscript"/>
          <w:lang w:val="pt-PT" w:eastAsia="zh-CN"/>
        </w:rPr>
        <w:t>4</w:t>
      </w:r>
      <w:r w:rsidR="00D76C65" w:rsidRPr="00D76C65">
        <w:rPr>
          <w:rFonts w:eastAsia="SimSun"/>
          <w:kern w:val="2"/>
          <w:sz w:val="18"/>
          <w:szCs w:val="18"/>
          <w:lang w:val="pt-PT" w:eastAsia="zh-CN"/>
        </w:rPr>
        <w:t xml:space="preserve"> </w:t>
      </w:r>
      <w:r w:rsidR="00D76C65" w:rsidRPr="0073188F">
        <w:rPr>
          <w:rFonts w:eastAsia="SimSun"/>
          <w:kern w:val="2"/>
          <w:sz w:val="18"/>
          <w:szCs w:val="18"/>
          <w:lang w:val="pt-PT" w:eastAsia="zh-CN"/>
        </w:rPr>
        <w:t xml:space="preserve">Associação </w:t>
      </w:r>
      <w:r w:rsidR="000F4450">
        <w:rPr>
          <w:rFonts w:eastAsia="SimSun"/>
          <w:kern w:val="2"/>
          <w:sz w:val="18"/>
          <w:szCs w:val="18"/>
          <w:lang w:val="pt-PT" w:eastAsia="zh-CN"/>
        </w:rPr>
        <w:br/>
      </w:r>
      <w:r w:rsidR="00D76C65" w:rsidRPr="0073188F">
        <w:rPr>
          <w:rFonts w:eastAsia="SimSun"/>
          <w:kern w:val="2"/>
          <w:sz w:val="18"/>
          <w:szCs w:val="18"/>
          <w:lang w:val="pt-PT" w:eastAsia="zh-CN"/>
        </w:rPr>
        <w:t>do Instituto Superior Técnico para a Investigação e Desenvolvimento (IST-ID), Avenida António José de Almeida, 12, 1000-043 Lisboa, Portugal</w:t>
      </w:r>
      <w:r w:rsidR="00642C7B">
        <w:rPr>
          <w:rFonts w:eastAsia="SimSun"/>
          <w:kern w:val="2"/>
          <w:sz w:val="18"/>
          <w:szCs w:val="18"/>
          <w:lang w:val="pt-PT" w:eastAsia="zh-CN"/>
        </w:rPr>
        <w:t xml:space="preserve">, </w:t>
      </w:r>
      <w:r w:rsidR="00642C7B">
        <w:rPr>
          <w:rFonts w:eastAsia="SimSun"/>
          <w:kern w:val="2"/>
          <w:sz w:val="18"/>
          <w:szCs w:val="18"/>
          <w:lang w:val="pt-PT" w:eastAsia="zh-CN"/>
        </w:rPr>
        <w:br/>
      </w:r>
      <w:r w:rsidR="00642C7B">
        <w:rPr>
          <w:rFonts w:eastAsia="SimSun"/>
          <w:kern w:val="2"/>
          <w:sz w:val="18"/>
          <w:szCs w:val="18"/>
          <w:vertAlign w:val="superscript"/>
          <w:lang w:val="pt-PT" w:eastAsia="zh-CN"/>
        </w:rPr>
        <w:t>5</w:t>
      </w:r>
      <w:r w:rsidR="00642C7B">
        <w:rPr>
          <w:rFonts w:eastAsia="SimSun"/>
          <w:kern w:val="2"/>
          <w:sz w:val="18"/>
          <w:szCs w:val="18"/>
          <w:lang w:val="pt-PT" w:eastAsia="zh-CN"/>
        </w:rPr>
        <w:t xml:space="preserve"> </w:t>
      </w:r>
      <w:r w:rsidR="00642C7B" w:rsidRPr="00642C7B">
        <w:rPr>
          <w:rFonts w:eastAsia="SimSun"/>
          <w:kern w:val="2"/>
          <w:sz w:val="18"/>
          <w:szCs w:val="18"/>
          <w:lang w:eastAsia="zh-CN"/>
        </w:rPr>
        <w:t xml:space="preserve">Institute of Physical Chemistry, Polish Academy of Sciences, </w:t>
      </w:r>
      <w:proofErr w:type="spellStart"/>
      <w:r w:rsidR="00642C7B" w:rsidRPr="00642C7B">
        <w:rPr>
          <w:rFonts w:eastAsia="SimSun"/>
          <w:kern w:val="2"/>
          <w:sz w:val="18"/>
          <w:szCs w:val="18"/>
          <w:lang w:eastAsia="zh-CN"/>
        </w:rPr>
        <w:t>Kasprzaka</w:t>
      </w:r>
      <w:proofErr w:type="spellEnd"/>
      <w:r w:rsidR="00642C7B" w:rsidRPr="00642C7B">
        <w:rPr>
          <w:rFonts w:eastAsia="SimSun"/>
          <w:kern w:val="2"/>
          <w:sz w:val="18"/>
          <w:szCs w:val="18"/>
          <w:lang w:eastAsia="zh-CN"/>
        </w:rPr>
        <w:t xml:space="preserve"> 44/52, 01-224 Warsaw, Poland</w:t>
      </w:r>
    </w:p>
    <w:p w14:paraId="6A0F6D5F" w14:textId="0C17BB14" w:rsidR="00780ED1" w:rsidRDefault="009B6C46">
      <w:pPr>
        <w:pStyle w:val="Nagwek3"/>
        <w:rPr>
          <w:sz w:val="18"/>
          <w:szCs w:val="18"/>
        </w:rPr>
      </w:pPr>
      <w:r>
        <w:t>*</w:t>
      </w:r>
      <w:r w:rsidR="00D76C65">
        <w:t>mateusz.goldyn@amu.edu.pl</w:t>
      </w:r>
      <w:r>
        <w:rPr>
          <w:lang w:eastAsia="de-DE"/>
        </w:rPr>
        <w:br/>
      </w:r>
    </w:p>
    <w:p w14:paraId="1D83A9B9" w14:textId="518EBC7D" w:rsidR="00846EEA" w:rsidRPr="000A53E3" w:rsidRDefault="00846EEA" w:rsidP="00846EEA">
      <w:pPr>
        <w:widowControl w:val="0"/>
        <w:spacing w:after="0"/>
        <w:ind w:firstLine="708"/>
      </w:pPr>
      <w:r w:rsidRPr="000A53E3">
        <w:t>Praziquantel (</w:t>
      </w:r>
      <w:r w:rsidRPr="000A53E3">
        <w:rPr>
          <w:b/>
          <w:bCs/>
        </w:rPr>
        <w:t>PZQ</w:t>
      </w:r>
      <w:r w:rsidRPr="000A53E3">
        <w:t xml:space="preserve">), a broad-spectrum therapeutic drug used to treat schistosomiasis is included in the WHO Model List </w:t>
      </w:r>
      <w:r w:rsidR="000A53E3">
        <w:br/>
      </w:r>
      <w:r w:rsidRPr="000A53E3">
        <w:t>of Essential Medicines</w:t>
      </w:r>
      <w:r w:rsidR="00736540">
        <w:t xml:space="preserve"> [1,2]</w:t>
      </w:r>
      <w:r w:rsidRPr="000A53E3">
        <w:t>. Its high efficacy, coupled with the risk of drug resistance from long-term use, fully justifies the need for research on this substance. 5-Hydroxyisophthalic acid (</w:t>
      </w:r>
      <w:r w:rsidRPr="000A53E3">
        <w:rPr>
          <w:b/>
          <w:bCs/>
        </w:rPr>
        <w:t>5HIP</w:t>
      </w:r>
      <w:r w:rsidRPr="000A53E3">
        <w:t>), benzene-1,3,5-tricarboxylic acid (</w:t>
      </w:r>
      <w:r w:rsidRPr="000A53E3">
        <w:rPr>
          <w:b/>
          <w:bCs/>
        </w:rPr>
        <w:t>TRI</w:t>
      </w:r>
      <w:r w:rsidRPr="000A53E3">
        <w:t xml:space="preserve">) and </w:t>
      </w:r>
      <w:r w:rsidR="00642C7B" w:rsidRPr="000A53E3">
        <w:rPr>
          <w:i/>
          <w:iCs/>
        </w:rPr>
        <w:t>(E,E)</w:t>
      </w:r>
      <w:r w:rsidRPr="000A53E3">
        <w:t>-</w:t>
      </w:r>
      <w:proofErr w:type="spellStart"/>
      <w:r w:rsidRPr="000A53E3">
        <w:t>muconic</w:t>
      </w:r>
      <w:proofErr w:type="spellEnd"/>
      <w:r w:rsidRPr="000A53E3">
        <w:t xml:space="preserve"> (</w:t>
      </w:r>
      <w:r w:rsidRPr="000A53E3">
        <w:rPr>
          <w:b/>
          <w:bCs/>
        </w:rPr>
        <w:t>MUC</w:t>
      </w:r>
      <w:r w:rsidRPr="000A53E3">
        <w:t xml:space="preserve">) acid were </w:t>
      </w:r>
      <w:r w:rsidR="00E71EBE" w:rsidRPr="000A53E3">
        <w:t>used</w:t>
      </w:r>
      <w:r w:rsidRPr="000A53E3">
        <w:t xml:space="preserve"> for cocrystallization experiments with </w:t>
      </w:r>
      <w:r w:rsidRPr="000A53E3">
        <w:rPr>
          <w:b/>
          <w:bCs/>
        </w:rPr>
        <w:t xml:space="preserve">PZQ </w:t>
      </w:r>
      <w:r w:rsidRPr="000A53E3">
        <w:t xml:space="preserve">(Fig. 1). </w:t>
      </w:r>
      <w:r w:rsidR="00642C7B" w:rsidRPr="000A53E3">
        <w:t xml:space="preserve">The potential of mechanochemistry was applied to develop repeatable syntheses, leading to the formation of suitable crystalline phases. </w:t>
      </w:r>
      <w:r w:rsidRPr="000A53E3">
        <w:t xml:space="preserve">The use of these acids resulted in the identification and characterization of eight new multicomponent systems, including three cocrystals and five cocrystal solvates. Growing </w:t>
      </w:r>
      <w:r w:rsidR="00E71EBE" w:rsidRPr="000A53E3">
        <w:t>s</w:t>
      </w:r>
      <w:r w:rsidRPr="000A53E3">
        <w:t xml:space="preserve">ingle crystals enabled X-ray structural analysis, focusing on the formation of specific supramolecular synthons responsible for the arrangement of molecules </w:t>
      </w:r>
      <w:r w:rsidR="000A53E3">
        <w:br/>
      </w:r>
      <w:r w:rsidRPr="000A53E3">
        <w:t xml:space="preserve">in the crystal. </w:t>
      </w:r>
      <w:r w:rsidR="00E71EBE" w:rsidRPr="000A53E3">
        <w:t xml:space="preserve">Among the identified phases, two of them are hydrogen-bonded organic frameworks (HOFs) composed of </w:t>
      </w:r>
      <w:r w:rsidR="00E71EBE" w:rsidRPr="000A53E3">
        <w:rPr>
          <w:b/>
          <w:bCs/>
        </w:rPr>
        <w:t>PZQ</w:t>
      </w:r>
      <w:r w:rsidR="00E71EBE" w:rsidRPr="000A53E3">
        <w:t xml:space="preserve"> and </w:t>
      </w:r>
      <w:r w:rsidR="00E71EBE" w:rsidRPr="000A53E3">
        <w:rPr>
          <w:b/>
          <w:bCs/>
        </w:rPr>
        <w:t>5HIP</w:t>
      </w:r>
      <w:r w:rsidR="00E71EBE" w:rsidRPr="000A53E3">
        <w:t xml:space="preserve"> in a 1:4 stoichiometric ratio, in which the </w:t>
      </w:r>
      <w:r w:rsidR="00E71EBE" w:rsidRPr="000A53E3">
        <w:rPr>
          <w:b/>
          <w:bCs/>
        </w:rPr>
        <w:t>5HIP</w:t>
      </w:r>
      <w:r w:rsidR="00E71EBE" w:rsidRPr="000A53E3">
        <w:t xml:space="preserve"> acid molecules are arranged in layers, </w:t>
      </w:r>
      <w:r w:rsidR="000A53E3" w:rsidRPr="000A53E3">
        <w:t>forming</w:t>
      </w:r>
      <w:r w:rsidR="00E71EBE" w:rsidRPr="000A53E3">
        <w:t xml:space="preserve"> hexagonal channels in which </w:t>
      </w:r>
      <w:r w:rsidR="00E71EBE" w:rsidRPr="000A53E3">
        <w:rPr>
          <w:b/>
          <w:bCs/>
        </w:rPr>
        <w:t>PZQ</w:t>
      </w:r>
      <w:r w:rsidR="00E71EBE" w:rsidRPr="000A53E3">
        <w:t xml:space="preserve"> </w:t>
      </w:r>
      <w:r w:rsidR="000A53E3">
        <w:br/>
      </w:r>
      <w:r w:rsidR="00E71EBE" w:rsidRPr="000A53E3">
        <w:t>and solvent molecules are located.</w:t>
      </w:r>
    </w:p>
    <w:p w14:paraId="27EFAFC7" w14:textId="77777777" w:rsidR="00846EEA" w:rsidRDefault="00846EEA" w:rsidP="00846EEA">
      <w:pPr>
        <w:widowControl w:val="0"/>
        <w:spacing w:after="0"/>
        <w:ind w:firstLine="708"/>
        <w:rPr>
          <w:sz w:val="18"/>
          <w:szCs w:val="18"/>
        </w:rPr>
      </w:pPr>
    </w:p>
    <w:p w14:paraId="58B20651" w14:textId="3E2B4485" w:rsidR="00846EEA" w:rsidRDefault="00E509D5" w:rsidP="00E71EBE">
      <w:pPr>
        <w:widowControl w:val="0"/>
        <w:spacing w:after="0"/>
        <w:jc w:val="center"/>
        <w:rPr>
          <w:sz w:val="18"/>
          <w:szCs w:val="18"/>
        </w:rPr>
      </w:pPr>
      <w:r w:rsidRPr="00104B10">
        <w:rPr>
          <w:sz w:val="18"/>
          <w:szCs w:val="18"/>
        </w:rPr>
        <w:object w:dxaOrig="9444" w:dyaOrig="1836" w14:anchorId="40A930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8pt;height:85.2pt" o:ole="">
            <v:imagedata r:id="rId7" o:title=""/>
          </v:shape>
          <o:OLEObject Type="Embed" ProgID="ChemDraw.Document.6.0" ShapeID="_x0000_i1025" DrawAspect="Content" ObjectID="_1808222890" r:id="rId8"/>
        </w:object>
      </w:r>
    </w:p>
    <w:p w14:paraId="7FEAF10F" w14:textId="7DB4EE96" w:rsidR="00780ED1" w:rsidRPr="000A53E3" w:rsidRDefault="000F4450" w:rsidP="00846EEA">
      <w:pPr>
        <w:jc w:val="center"/>
        <w:rPr>
          <w:sz w:val="18"/>
          <w:szCs w:val="18"/>
        </w:rPr>
      </w:pPr>
      <w:r w:rsidRPr="000A53E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9538E5" wp14:editId="5D94A9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0809256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14B63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Pr="000A53E3">
        <w:rPr>
          <w:b/>
          <w:sz w:val="18"/>
          <w:szCs w:val="18"/>
        </w:rPr>
        <w:t>Figure 1</w:t>
      </w:r>
      <w:r w:rsidRPr="000A53E3">
        <w:rPr>
          <w:sz w:val="18"/>
          <w:szCs w:val="18"/>
        </w:rPr>
        <w:t xml:space="preserve">. </w:t>
      </w:r>
      <w:r w:rsidR="00846EEA" w:rsidRPr="000A53E3">
        <w:rPr>
          <w:sz w:val="18"/>
          <w:szCs w:val="18"/>
        </w:rPr>
        <w:t>Chemical structure of (</w:t>
      </w:r>
      <w:r w:rsidR="00846EEA" w:rsidRPr="000A53E3">
        <w:rPr>
          <w:i/>
          <w:iCs/>
          <w:sz w:val="18"/>
          <w:szCs w:val="18"/>
        </w:rPr>
        <w:t>R</w:t>
      </w:r>
      <w:r w:rsidR="00846EEA" w:rsidRPr="000A53E3">
        <w:rPr>
          <w:sz w:val="18"/>
          <w:szCs w:val="18"/>
        </w:rPr>
        <w:t>/</w:t>
      </w:r>
      <w:r w:rsidR="00846EEA" w:rsidRPr="000A53E3">
        <w:rPr>
          <w:i/>
          <w:iCs/>
          <w:sz w:val="18"/>
          <w:szCs w:val="18"/>
        </w:rPr>
        <w:t>S</w:t>
      </w:r>
      <w:r w:rsidR="00846EEA" w:rsidRPr="000A53E3">
        <w:rPr>
          <w:sz w:val="18"/>
          <w:szCs w:val="18"/>
        </w:rPr>
        <w:t>)-</w:t>
      </w:r>
      <w:r w:rsidR="00846EEA" w:rsidRPr="000A53E3">
        <w:rPr>
          <w:b/>
          <w:bCs/>
          <w:sz w:val="18"/>
          <w:szCs w:val="18"/>
        </w:rPr>
        <w:t>PZQ</w:t>
      </w:r>
      <w:r w:rsidR="00846EEA" w:rsidRPr="000A53E3">
        <w:rPr>
          <w:sz w:val="18"/>
          <w:szCs w:val="18"/>
        </w:rPr>
        <w:t xml:space="preserve"> and coformers used (5-hydroxyisophthalic acid, </w:t>
      </w:r>
      <w:r w:rsidR="00846EEA" w:rsidRPr="000A53E3">
        <w:rPr>
          <w:b/>
          <w:bCs/>
          <w:sz w:val="18"/>
          <w:szCs w:val="18"/>
        </w:rPr>
        <w:t>5HIP</w:t>
      </w:r>
      <w:r w:rsidR="00846EEA" w:rsidRPr="000A53E3">
        <w:rPr>
          <w:sz w:val="18"/>
          <w:szCs w:val="18"/>
        </w:rPr>
        <w:t xml:space="preserve">, benzene-1,3,5-tricarboxylic acid, </w:t>
      </w:r>
      <w:r w:rsidR="00846EEA" w:rsidRPr="000A53E3">
        <w:rPr>
          <w:b/>
          <w:bCs/>
          <w:sz w:val="18"/>
          <w:szCs w:val="18"/>
        </w:rPr>
        <w:t>TRI</w:t>
      </w:r>
      <w:r w:rsidR="00846EEA" w:rsidRPr="000A53E3">
        <w:rPr>
          <w:sz w:val="18"/>
          <w:szCs w:val="18"/>
        </w:rPr>
        <w:t xml:space="preserve">, </w:t>
      </w:r>
      <w:r w:rsidR="000A53E3">
        <w:rPr>
          <w:sz w:val="18"/>
          <w:szCs w:val="18"/>
        </w:rPr>
        <w:br/>
      </w:r>
      <w:r w:rsidR="00846EEA" w:rsidRPr="000A53E3">
        <w:rPr>
          <w:i/>
          <w:iCs/>
          <w:sz w:val="18"/>
          <w:szCs w:val="18"/>
        </w:rPr>
        <w:t>(E,E)</w:t>
      </w:r>
      <w:r w:rsidR="00846EEA" w:rsidRPr="000A53E3">
        <w:rPr>
          <w:sz w:val="18"/>
          <w:szCs w:val="18"/>
        </w:rPr>
        <w:t>-</w:t>
      </w:r>
      <w:proofErr w:type="spellStart"/>
      <w:r w:rsidR="00846EEA" w:rsidRPr="000A53E3">
        <w:rPr>
          <w:sz w:val="18"/>
          <w:szCs w:val="18"/>
        </w:rPr>
        <w:t>muconic</w:t>
      </w:r>
      <w:proofErr w:type="spellEnd"/>
      <w:r w:rsidR="00846EEA" w:rsidRPr="000A53E3">
        <w:rPr>
          <w:sz w:val="18"/>
          <w:szCs w:val="18"/>
        </w:rPr>
        <w:t xml:space="preserve"> acid, </w:t>
      </w:r>
      <w:r w:rsidR="00846EEA" w:rsidRPr="000A53E3">
        <w:rPr>
          <w:b/>
          <w:bCs/>
          <w:sz w:val="18"/>
          <w:szCs w:val="18"/>
        </w:rPr>
        <w:t>MUC</w:t>
      </w:r>
      <w:r w:rsidR="00846EEA" w:rsidRPr="000A53E3">
        <w:rPr>
          <w:sz w:val="18"/>
          <w:szCs w:val="18"/>
        </w:rPr>
        <w:t>).</w:t>
      </w:r>
    </w:p>
    <w:p w14:paraId="57DFE8D6" w14:textId="4EFDE7DD" w:rsidR="00E71EBE" w:rsidRPr="000A53E3" w:rsidRDefault="00E71EBE" w:rsidP="00E71EBE">
      <w:pPr>
        <w:widowControl w:val="0"/>
        <w:spacing w:after="0"/>
        <w:ind w:firstLine="708"/>
      </w:pPr>
      <w:r w:rsidRPr="000A53E3">
        <w:t xml:space="preserve">Simultaneous thermal analysis indicated high thermal stability of the studied systems compared to pure </w:t>
      </w:r>
      <w:r w:rsidRPr="000A53E3">
        <w:rPr>
          <w:b/>
          <w:bCs/>
        </w:rPr>
        <w:t>PZQ</w:t>
      </w:r>
      <w:r w:rsidRPr="000A53E3">
        <w:t xml:space="preserve">, particularly </w:t>
      </w:r>
      <w:r w:rsidR="000A53E3">
        <w:br/>
      </w:r>
      <w:r w:rsidRPr="000A53E3">
        <w:t xml:space="preserve">for obtained cocrystal solvates. UV-Vis spectroscopic studies demonstrated the effect of cocrystallization on the solubility of </w:t>
      </w:r>
      <w:r w:rsidRPr="000A53E3">
        <w:rPr>
          <w:b/>
          <w:bCs/>
        </w:rPr>
        <w:t>PZQ</w:t>
      </w:r>
      <w:r w:rsidRPr="000A53E3">
        <w:t xml:space="preserve">. </w:t>
      </w:r>
    </w:p>
    <w:p w14:paraId="19384DB3" w14:textId="2305BF66" w:rsidR="00E71EBE" w:rsidRDefault="00E71EBE" w:rsidP="008C264A">
      <w:pPr>
        <w:widowControl w:val="0"/>
        <w:spacing w:after="0"/>
        <w:ind w:firstLine="708"/>
      </w:pPr>
      <w:r w:rsidRPr="000A53E3">
        <w:t xml:space="preserve">This study demonstrates the essence of mechanochemistry as an effective way to obtain multicomponent supramolecular systems selectively, in a short time and with minimal use of solvents. Moreover, the additional characterization of the studied </w:t>
      </w:r>
      <w:r w:rsidR="00642C7B" w:rsidRPr="000A53E3">
        <w:rPr>
          <w:b/>
          <w:bCs/>
        </w:rPr>
        <w:t>PZQ</w:t>
      </w:r>
      <w:r w:rsidRPr="000A53E3">
        <w:t xml:space="preserve"> cocrystals shows the influence of cocrystallization on important physicochemical properties, such as solubility and thermal stability.</w:t>
      </w:r>
    </w:p>
    <w:p w14:paraId="5C813BD3" w14:textId="77777777" w:rsidR="008C264A" w:rsidRDefault="008C264A" w:rsidP="008C264A">
      <w:pPr>
        <w:widowControl w:val="0"/>
        <w:spacing w:after="0"/>
        <w:ind w:firstLine="708"/>
      </w:pPr>
    </w:p>
    <w:p w14:paraId="39152552" w14:textId="1B848E52" w:rsidR="00780ED1" w:rsidRDefault="00000000">
      <w:pPr>
        <w:pStyle w:val="Nagwek4"/>
      </w:pPr>
      <w:r>
        <w:t xml:space="preserve">[1] </w:t>
      </w:r>
      <w:r w:rsidR="00736540" w:rsidRPr="00927F6B">
        <w:rPr>
          <w:szCs w:val="18"/>
        </w:rPr>
        <w:t xml:space="preserve">W. H. O. = O. </w:t>
      </w:r>
      <w:proofErr w:type="spellStart"/>
      <w:r w:rsidR="00736540" w:rsidRPr="00927F6B">
        <w:rPr>
          <w:szCs w:val="18"/>
        </w:rPr>
        <w:t>mondiale</w:t>
      </w:r>
      <w:proofErr w:type="spellEnd"/>
      <w:r w:rsidR="00736540" w:rsidRPr="00927F6B">
        <w:rPr>
          <w:szCs w:val="18"/>
        </w:rPr>
        <w:t xml:space="preserve"> de la Santé, </w:t>
      </w:r>
      <w:r w:rsidR="00736540" w:rsidRPr="00927F6B">
        <w:rPr>
          <w:i/>
          <w:iCs/>
          <w:szCs w:val="18"/>
        </w:rPr>
        <w:t xml:space="preserve">Weekly Epidemiological Record = Relevé </w:t>
      </w:r>
      <w:proofErr w:type="spellStart"/>
      <w:r w:rsidR="00736540" w:rsidRPr="00927F6B">
        <w:rPr>
          <w:i/>
          <w:iCs/>
          <w:szCs w:val="18"/>
        </w:rPr>
        <w:t>épidémiologique</w:t>
      </w:r>
      <w:proofErr w:type="spellEnd"/>
      <w:r w:rsidR="00736540" w:rsidRPr="00927F6B">
        <w:rPr>
          <w:i/>
          <w:iCs/>
          <w:szCs w:val="18"/>
        </w:rPr>
        <w:t xml:space="preserve"> </w:t>
      </w:r>
      <w:proofErr w:type="spellStart"/>
      <w:r w:rsidR="00736540" w:rsidRPr="00927F6B">
        <w:rPr>
          <w:i/>
          <w:iCs/>
          <w:szCs w:val="18"/>
        </w:rPr>
        <w:t>hebdomadaire</w:t>
      </w:r>
      <w:proofErr w:type="spellEnd"/>
      <w:r w:rsidR="00736540">
        <w:rPr>
          <w:szCs w:val="18"/>
        </w:rPr>
        <w:t xml:space="preserve"> (</w:t>
      </w:r>
      <w:r w:rsidR="00736540" w:rsidRPr="00927F6B">
        <w:rPr>
          <w:szCs w:val="18"/>
        </w:rPr>
        <w:t>2020</w:t>
      </w:r>
      <w:r w:rsidR="00736540">
        <w:rPr>
          <w:szCs w:val="18"/>
        </w:rPr>
        <w:t>)</w:t>
      </w:r>
      <w:r w:rsidR="00736540" w:rsidRPr="00927F6B">
        <w:rPr>
          <w:szCs w:val="18"/>
        </w:rPr>
        <w:t xml:space="preserve"> </w:t>
      </w:r>
      <w:r w:rsidR="00736540" w:rsidRPr="00927F6B">
        <w:rPr>
          <w:b/>
          <w:szCs w:val="18"/>
        </w:rPr>
        <w:t>95</w:t>
      </w:r>
      <w:r w:rsidR="00736540" w:rsidRPr="00927F6B">
        <w:rPr>
          <w:szCs w:val="18"/>
        </w:rPr>
        <w:t>, 629–640</w:t>
      </w:r>
      <w:r>
        <w:t>.</w:t>
      </w:r>
    </w:p>
    <w:p w14:paraId="7B457D66" w14:textId="041C8A95" w:rsidR="00780ED1" w:rsidRDefault="00000000">
      <w:pPr>
        <w:pStyle w:val="Nagwek4"/>
      </w:pPr>
      <w:r>
        <w:t>[2]</w:t>
      </w:r>
      <w:r w:rsidR="00736540" w:rsidRPr="00736540">
        <w:t xml:space="preserve"> </w:t>
      </w:r>
      <w:r w:rsidR="00736540" w:rsidRPr="00927F6B">
        <w:rPr>
          <w:szCs w:val="18"/>
        </w:rPr>
        <w:t xml:space="preserve">WHO Model Lists of Essential Medicines, </w:t>
      </w:r>
      <w:hyperlink r:id="rId9" w:history="1">
        <w:r w:rsidR="009B6C46" w:rsidRPr="009279B3">
          <w:rPr>
            <w:rStyle w:val="Hipercze"/>
            <w:szCs w:val="18"/>
          </w:rPr>
          <w:t>https://www.who.int/groups/expert-committee-on-selection-and-use-of-essential-medicines/essential-medicines-lists</w:t>
        </w:r>
      </w:hyperlink>
      <w:r w:rsidR="009B6C46">
        <w:rPr>
          <w:szCs w:val="18"/>
        </w:rPr>
        <w:t xml:space="preserve"> </w:t>
      </w:r>
      <w:r w:rsidR="00736540" w:rsidRPr="00927F6B">
        <w:rPr>
          <w:szCs w:val="18"/>
        </w:rPr>
        <w:t xml:space="preserve">(accessed </w:t>
      </w:r>
      <w:r w:rsidR="00736540">
        <w:rPr>
          <w:szCs w:val="18"/>
        </w:rPr>
        <w:t>May</w:t>
      </w:r>
      <w:r w:rsidR="00736540" w:rsidRPr="00927F6B">
        <w:rPr>
          <w:szCs w:val="18"/>
        </w:rPr>
        <w:t xml:space="preserve"> </w:t>
      </w:r>
      <w:r w:rsidR="00736540">
        <w:rPr>
          <w:szCs w:val="18"/>
        </w:rPr>
        <w:t>7</w:t>
      </w:r>
      <w:r w:rsidR="00736540" w:rsidRPr="00927F6B">
        <w:rPr>
          <w:szCs w:val="18"/>
        </w:rPr>
        <w:t>, 202</w:t>
      </w:r>
      <w:r w:rsidR="00736540">
        <w:rPr>
          <w:szCs w:val="18"/>
        </w:rPr>
        <w:t>5</w:t>
      </w:r>
      <w:r w:rsidR="00736540" w:rsidRPr="00927F6B">
        <w:rPr>
          <w:szCs w:val="18"/>
        </w:rPr>
        <w:t>).</w:t>
      </w:r>
    </w:p>
    <w:p w14:paraId="477B56E4" w14:textId="64B4E64A" w:rsidR="007A0D2B" w:rsidRPr="007A0D2B" w:rsidRDefault="007A0D2B" w:rsidP="007A0D2B">
      <w:pPr>
        <w:pStyle w:val="Acknowledgement"/>
        <w:rPr>
          <w:lang w:val="pt-BR" w:eastAsia="cs-CZ"/>
        </w:rPr>
      </w:pPr>
      <w:r w:rsidRPr="007A0D2B">
        <w:rPr>
          <w:lang w:eastAsia="cs-CZ"/>
        </w:rPr>
        <w:t xml:space="preserve">The research was supported by the Adam Mickiewicz University in </w:t>
      </w:r>
      <w:proofErr w:type="spellStart"/>
      <w:r w:rsidRPr="007A0D2B">
        <w:rPr>
          <w:lang w:eastAsia="cs-CZ"/>
        </w:rPr>
        <w:t>Poznań</w:t>
      </w:r>
      <w:proofErr w:type="spellEnd"/>
      <w:r w:rsidRPr="007A0D2B">
        <w:rPr>
          <w:lang w:eastAsia="cs-CZ"/>
        </w:rPr>
        <w:t xml:space="preserve"> (Mobility ID-UB grant no. 131/07/POB3/0015) and by the National Science Centre of Poland (grant PRELUDIUM no. 2021/41/N/ST5/00503). Authors also acknowledge </w:t>
      </w:r>
      <w:proofErr w:type="spellStart"/>
      <w:r w:rsidRPr="007A0D2B">
        <w:rPr>
          <w:lang w:eastAsia="cs-CZ"/>
        </w:rPr>
        <w:t>Fundação</w:t>
      </w:r>
      <w:proofErr w:type="spellEnd"/>
      <w:r w:rsidRPr="007A0D2B">
        <w:rPr>
          <w:lang w:eastAsia="cs-CZ"/>
        </w:rPr>
        <w:t xml:space="preserve"> para </w:t>
      </w:r>
      <w:r w:rsidR="000A53E3">
        <w:rPr>
          <w:lang w:eastAsia="cs-CZ"/>
        </w:rPr>
        <w:br/>
      </w:r>
      <w:r w:rsidRPr="007A0D2B">
        <w:rPr>
          <w:lang w:eastAsia="cs-CZ"/>
        </w:rPr>
        <w:t xml:space="preserve">a </w:t>
      </w:r>
      <w:proofErr w:type="spellStart"/>
      <w:r w:rsidRPr="007A0D2B">
        <w:rPr>
          <w:lang w:eastAsia="cs-CZ"/>
        </w:rPr>
        <w:t>Ciência</w:t>
      </w:r>
      <w:proofErr w:type="spellEnd"/>
      <w:r w:rsidRPr="007A0D2B">
        <w:rPr>
          <w:lang w:eastAsia="cs-CZ"/>
        </w:rPr>
        <w:t xml:space="preserve"> e a </w:t>
      </w:r>
      <w:proofErr w:type="spellStart"/>
      <w:r w:rsidRPr="007A0D2B">
        <w:rPr>
          <w:lang w:eastAsia="cs-CZ"/>
        </w:rPr>
        <w:t>Tecnologia</w:t>
      </w:r>
      <w:proofErr w:type="spellEnd"/>
      <w:r w:rsidRPr="007A0D2B">
        <w:rPr>
          <w:lang w:eastAsia="cs-CZ"/>
        </w:rPr>
        <w:t xml:space="preserve"> (FCT, Portugal) (projects UIDB/00100/2020 (</w:t>
      </w:r>
      <w:r w:rsidRPr="00846EEA">
        <w:rPr>
          <w:lang w:eastAsia="cs-CZ"/>
        </w:rPr>
        <w:t>https://doi.org/10.54499/UIDB/00100/2020</w:t>
      </w:r>
      <w:r w:rsidRPr="007A0D2B">
        <w:rPr>
          <w:lang w:eastAsia="cs-CZ"/>
        </w:rPr>
        <w:t>), UIDP/00100/2020 (</w:t>
      </w:r>
      <w:r w:rsidRPr="00846EEA">
        <w:rPr>
          <w:lang w:eastAsia="cs-CZ"/>
        </w:rPr>
        <w:t>https://doi.org/10.54499/UIDP/00100/2020</w:t>
      </w:r>
      <w:r w:rsidRPr="007A0D2B">
        <w:rPr>
          <w:lang w:eastAsia="cs-CZ"/>
        </w:rPr>
        <w:t>), LA/P/0056/2020 (</w:t>
      </w:r>
      <w:r w:rsidRPr="00846EEA">
        <w:rPr>
          <w:lang w:eastAsia="cs-CZ"/>
        </w:rPr>
        <w:t>https://doi.org/10.54499/LA/P/0056/2020</w:t>
      </w:r>
      <w:r w:rsidRPr="007A0D2B">
        <w:rPr>
          <w:lang w:eastAsia="cs-CZ"/>
        </w:rPr>
        <w:t>) for funding.</w:t>
      </w:r>
    </w:p>
    <w:p w14:paraId="6764A830" w14:textId="2B7520E2" w:rsidR="00780ED1" w:rsidRPr="007A0D2B" w:rsidRDefault="00780ED1" w:rsidP="007A0D2B">
      <w:pPr>
        <w:pStyle w:val="Acknowledgement"/>
        <w:rPr>
          <w:lang w:val="pt-BR"/>
        </w:rPr>
      </w:pPr>
    </w:p>
    <w:sectPr w:rsidR="00780ED1" w:rsidRPr="007A0D2B">
      <w:headerReference w:type="default" r:id="rId10"/>
      <w:footerReference w:type="default" r:id="rId11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444F8" w14:textId="77777777" w:rsidR="008D770F" w:rsidRDefault="008D770F">
      <w:pPr>
        <w:spacing w:after="0"/>
      </w:pPr>
      <w:r>
        <w:separator/>
      </w:r>
    </w:p>
  </w:endnote>
  <w:endnote w:type="continuationSeparator" w:id="0">
    <w:p w14:paraId="438E94B4" w14:textId="77777777" w:rsidR="008D770F" w:rsidRDefault="008D77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4992" w14:textId="77777777" w:rsidR="00780ED1" w:rsidRDefault="00000000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5FC31F6F" w14:textId="77777777" w:rsidR="00780ED1" w:rsidRDefault="00780ED1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91BD3" w14:textId="77777777" w:rsidR="008D770F" w:rsidRDefault="008D770F">
      <w:pPr>
        <w:spacing w:after="0"/>
      </w:pPr>
      <w:r>
        <w:separator/>
      </w:r>
    </w:p>
  </w:footnote>
  <w:footnote w:type="continuationSeparator" w:id="0">
    <w:p w14:paraId="40DC5D57" w14:textId="77777777" w:rsidR="008D770F" w:rsidRDefault="008D77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4C7DD" w14:textId="77777777" w:rsidR="00780ED1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D1"/>
    <w:rsid w:val="0001368F"/>
    <w:rsid w:val="000A53E3"/>
    <w:rsid w:val="000F4450"/>
    <w:rsid w:val="001E4B94"/>
    <w:rsid w:val="00412D8B"/>
    <w:rsid w:val="00420E5C"/>
    <w:rsid w:val="00510593"/>
    <w:rsid w:val="00642C7B"/>
    <w:rsid w:val="00736540"/>
    <w:rsid w:val="00780ED1"/>
    <w:rsid w:val="007A0D2B"/>
    <w:rsid w:val="00846EEA"/>
    <w:rsid w:val="008C264A"/>
    <w:rsid w:val="008D770F"/>
    <w:rsid w:val="00966A53"/>
    <w:rsid w:val="009B6C46"/>
    <w:rsid w:val="00B5774B"/>
    <w:rsid w:val="00BB6C06"/>
    <w:rsid w:val="00D758B3"/>
    <w:rsid w:val="00D76C65"/>
    <w:rsid w:val="00E509D5"/>
    <w:rsid w:val="00E7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B59E"/>
  <w15:docId w15:val="{58FC0900-870B-442A-B512-E99A34B2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0D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0D2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365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ho.int/groups/expert-committee-on-selection-and-use-of-essential-medicines/essential-medicines-list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Mateusz Gołdyn</cp:lastModifiedBy>
  <cp:revision>9</cp:revision>
  <dcterms:created xsi:type="dcterms:W3CDTF">2025-05-07T18:27:00Z</dcterms:created>
  <dcterms:modified xsi:type="dcterms:W3CDTF">2025-05-08T13:22:00Z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