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4B192" w14:textId="5FABFA81" w:rsidR="00AE78F7" w:rsidRDefault="00216577">
      <w:pPr>
        <w:pStyle w:val="Heading1"/>
      </w:pPr>
      <w:r>
        <w:t xml:space="preserve">Structural </w:t>
      </w:r>
      <w:r w:rsidR="004A29C8">
        <w:t xml:space="preserve">chirality and functionality in incommensurate modulated tetragonal </w:t>
      </w:r>
      <w:r w:rsidR="00A4658D">
        <w:t>tungsten bronzes</w:t>
      </w:r>
    </w:p>
    <w:p w14:paraId="3FACEEEE" w14:textId="3AD1A2D2" w:rsidR="00AE78F7" w:rsidRDefault="00A4658D">
      <w:pPr>
        <w:pStyle w:val="Heading2"/>
      </w:pPr>
      <w:r w:rsidRPr="005A3F0A">
        <w:t>O</w:t>
      </w:r>
      <w:r w:rsidR="008D7B02" w:rsidRPr="005A3F0A">
        <w:t xml:space="preserve">. </w:t>
      </w:r>
      <w:r w:rsidRPr="005A3F0A">
        <w:t>Grendal</w:t>
      </w:r>
      <w:r w:rsidR="008D7B02" w:rsidRPr="005A3F0A">
        <w:rPr>
          <w:vertAlign w:val="superscript"/>
        </w:rPr>
        <w:t>1</w:t>
      </w:r>
      <w:r w:rsidR="008D7B02" w:rsidRPr="005A3F0A">
        <w:t>,</w:t>
      </w:r>
      <w:r w:rsidR="00023D89" w:rsidRPr="005A3F0A">
        <w:t xml:space="preserve"> </w:t>
      </w:r>
      <w:r w:rsidR="00D30D25" w:rsidRPr="005A3F0A">
        <w:t>C.R</w:t>
      </w:r>
      <w:r w:rsidR="008D7B02" w:rsidRPr="005A3F0A">
        <w:t xml:space="preserve">. </w:t>
      </w:r>
      <w:r w:rsidR="00D30D25" w:rsidRPr="005A3F0A">
        <w:t>Zeiger</w:t>
      </w:r>
      <w:r w:rsidR="008D7B02" w:rsidRPr="005A3F0A">
        <w:rPr>
          <w:vertAlign w:val="superscript"/>
        </w:rPr>
        <w:t>1</w:t>
      </w:r>
      <w:r w:rsidR="008D7B02" w:rsidRPr="005A3F0A">
        <w:t xml:space="preserve">, </w:t>
      </w:r>
      <w:r w:rsidR="00D30D25" w:rsidRPr="005A3F0A">
        <w:t>R</w:t>
      </w:r>
      <w:r w:rsidR="008D7B02" w:rsidRPr="005A3F0A">
        <w:t>.</w:t>
      </w:r>
      <w:r w:rsidR="00CD169C" w:rsidRPr="005A3F0A">
        <w:t>S. Dragland</w:t>
      </w:r>
      <w:r w:rsidR="00C93643" w:rsidRPr="005A3F0A">
        <w:rPr>
          <w:vertAlign w:val="superscript"/>
        </w:rPr>
        <w:t>1</w:t>
      </w:r>
      <w:r w:rsidR="00C93643" w:rsidRPr="005A3F0A">
        <w:t xml:space="preserve">, </w:t>
      </w:r>
      <w:r w:rsidR="00E970A8" w:rsidRPr="005A3F0A">
        <w:t>R. Sjøkvist</w:t>
      </w:r>
      <w:r w:rsidR="008D7B02" w:rsidRPr="005A3F0A">
        <w:rPr>
          <w:vertAlign w:val="superscript"/>
        </w:rPr>
        <w:t>2</w:t>
      </w:r>
      <w:r w:rsidR="00E970A8" w:rsidRPr="005A3F0A">
        <w:t xml:space="preserve">, </w:t>
      </w:r>
      <w:r w:rsidR="003E0587" w:rsidRPr="005A3F0A">
        <w:t>R. Beanland</w:t>
      </w:r>
      <w:r w:rsidR="00BB396E" w:rsidRPr="005A3F0A">
        <w:rPr>
          <w:vertAlign w:val="superscript"/>
        </w:rPr>
        <w:t>2</w:t>
      </w:r>
      <w:r w:rsidR="003E0587" w:rsidRPr="005A3F0A">
        <w:t xml:space="preserve">, </w:t>
      </w:r>
      <w:r w:rsidR="00BB396E" w:rsidRPr="005A3F0A">
        <w:t>D. Meier</w:t>
      </w:r>
      <w:r w:rsidR="00BB396E" w:rsidRPr="005A3F0A">
        <w:rPr>
          <w:vertAlign w:val="superscript"/>
        </w:rPr>
        <w:t>1</w:t>
      </w:r>
      <w:r w:rsidR="00BB396E" w:rsidRPr="005A3F0A">
        <w:t>, M. Senn</w:t>
      </w:r>
      <w:r w:rsidR="00BB396E" w:rsidRPr="005A3F0A">
        <w:rPr>
          <w:vertAlign w:val="superscript"/>
        </w:rPr>
        <w:t>3</w:t>
      </w:r>
    </w:p>
    <w:p w14:paraId="6856F678" w14:textId="18B0F473" w:rsidR="00AE78F7" w:rsidRDefault="008D7B02">
      <w:pPr>
        <w:pStyle w:val="Heading3"/>
      </w:pPr>
      <w:r>
        <w:rPr>
          <w:vertAlign w:val="superscript"/>
        </w:rPr>
        <w:t>1</w:t>
      </w:r>
      <w:r w:rsidR="00887B6B">
        <w:t>Department of Materials Science and Engineering, NTNU Norwegian University of Science and Technology</w:t>
      </w:r>
      <w:r w:rsidR="00641A7C">
        <w:t xml:space="preserve">, Sem </w:t>
      </w:r>
      <w:proofErr w:type="spellStart"/>
      <w:r w:rsidR="00641A7C">
        <w:t>Sælandsvie</w:t>
      </w:r>
      <w:proofErr w:type="spellEnd"/>
      <w:r w:rsidR="00641A7C">
        <w:t xml:space="preserve"> 12, 7491 Trondheim, Norway</w:t>
      </w:r>
      <w:r>
        <w:t xml:space="preserve">, </w:t>
      </w:r>
      <w:r>
        <w:rPr>
          <w:vertAlign w:val="superscript"/>
        </w:rPr>
        <w:t>2</w:t>
      </w:r>
      <w:r w:rsidR="00BA06D2">
        <w:t xml:space="preserve">Department of Physics, University of Warwick, </w:t>
      </w:r>
      <w:proofErr w:type="spellStart"/>
      <w:r w:rsidR="00BA06D2">
        <w:t>Gibbert</w:t>
      </w:r>
      <w:proofErr w:type="spellEnd"/>
      <w:r w:rsidR="00BA06D2">
        <w:t xml:space="preserve"> Hill Road, Coventry CV4 7AL, United Kingdom</w:t>
      </w:r>
      <w:r w:rsidR="00A66DB4">
        <w:t xml:space="preserve">, </w:t>
      </w:r>
      <w:r w:rsidR="00887B6B">
        <w:rPr>
          <w:vertAlign w:val="superscript"/>
        </w:rPr>
        <w:t>3</w:t>
      </w:r>
      <w:r w:rsidR="000C48A7">
        <w:t xml:space="preserve">Department of Chemistry, University of </w:t>
      </w:r>
      <w:r w:rsidR="00C57B18">
        <w:t xml:space="preserve">Warwick, </w:t>
      </w:r>
      <w:proofErr w:type="spellStart"/>
      <w:r w:rsidR="00C57B18">
        <w:t>Gibbert</w:t>
      </w:r>
      <w:proofErr w:type="spellEnd"/>
      <w:r w:rsidR="00C57B18">
        <w:t xml:space="preserve"> Hill Road, Coventry, CV4 7AL, United Kingdom</w:t>
      </w:r>
    </w:p>
    <w:p w14:paraId="6B3A383A" w14:textId="1BBA406B" w:rsidR="00AE78F7" w:rsidRDefault="008D7B02">
      <w:pPr>
        <w:pStyle w:val="Heading3"/>
        <w:rPr>
          <w:sz w:val="18"/>
          <w:szCs w:val="18"/>
        </w:rPr>
      </w:pPr>
      <w:r>
        <w:t xml:space="preserve">Email of communicating </w:t>
      </w:r>
      <w:r w:rsidR="00365CDC">
        <w:t>ola.g.grendal</w:t>
      </w:r>
      <w:r>
        <w:t>@</w:t>
      </w:r>
      <w:r w:rsidR="00365CDC">
        <w:t>ntnu.no</w:t>
      </w:r>
      <w:r>
        <w:rPr>
          <w:lang w:eastAsia="de-DE"/>
        </w:rPr>
        <w:br/>
      </w:r>
    </w:p>
    <w:p w14:paraId="4693480C" w14:textId="41946D39" w:rsidR="002E7D1E" w:rsidRDefault="00B51A00">
      <w:r>
        <w:t>Chirality is a crucial and fundamental concept in natural sciences having great implications in fields ranging from cosmology to particle physics</w:t>
      </w:r>
      <w:r w:rsidR="00B43252">
        <w:t>,</w:t>
      </w:r>
      <w:r>
        <w:t xml:space="preserve"> including chemistry, medicine and biology</w:t>
      </w:r>
      <w:r w:rsidR="00E32140">
        <w:t xml:space="preserve"> [1]</w:t>
      </w:r>
      <w:r>
        <w:t>. In solid-state physics chirality is closely linked to optical activity</w:t>
      </w:r>
      <w:r w:rsidR="00E32140">
        <w:t xml:space="preserve"> [2]</w:t>
      </w:r>
      <w:r>
        <w:t xml:space="preserve"> and is gaining increasing interest due to topics like magnetic </w:t>
      </w:r>
      <w:proofErr w:type="spellStart"/>
      <w:r>
        <w:t>skyrmions</w:t>
      </w:r>
      <w:proofErr w:type="spellEnd"/>
      <w:r w:rsidR="00E32140">
        <w:t xml:space="preserve"> [3]</w:t>
      </w:r>
      <w:r>
        <w:t>, chiral quantum optics</w:t>
      </w:r>
      <w:r w:rsidR="00E32140">
        <w:t xml:space="preserve"> [4]</w:t>
      </w:r>
      <w:r>
        <w:t xml:space="preserve"> and even enabling negative refraction and thus making of “perfect” lenses</w:t>
      </w:r>
      <w:r w:rsidR="00E32140">
        <w:t xml:space="preserve"> [5]</w:t>
      </w:r>
      <w:r>
        <w:t>.</w:t>
      </w:r>
      <w:r w:rsidR="00C027FB">
        <w:t xml:space="preserve"> Following from this is a growing interest in direct external-field control of chirality, </w:t>
      </w:r>
      <w:r w:rsidR="00C027FB">
        <w:rPr>
          <w:i/>
          <w:iCs/>
        </w:rPr>
        <w:t>i.e.</w:t>
      </w:r>
      <w:r w:rsidR="00C027FB">
        <w:t xml:space="preserve"> </w:t>
      </w:r>
      <w:proofErr w:type="spellStart"/>
      <w:r w:rsidR="005F07BB">
        <w:rPr>
          <w:i/>
          <w:iCs/>
        </w:rPr>
        <w:t>ferrochirality</w:t>
      </w:r>
      <w:proofErr w:type="spellEnd"/>
      <w:r w:rsidR="00C027FB">
        <w:t>, as this would enable direct control of chirality-related phenomena and functionality.</w:t>
      </w:r>
      <w:r w:rsidR="00E54FB3">
        <w:t xml:space="preserve"> A </w:t>
      </w:r>
      <w:proofErr w:type="spellStart"/>
      <w:r w:rsidR="00E54FB3">
        <w:t>ferrochiral</w:t>
      </w:r>
      <w:proofErr w:type="spellEnd"/>
      <w:r w:rsidR="00E54FB3">
        <w:t xml:space="preserve"> material need to possess</w:t>
      </w:r>
      <w:r w:rsidR="00C027FB">
        <w:t xml:space="preserve"> an achiral</w:t>
      </w:r>
      <w:r w:rsidR="00E54FB3">
        <w:t xml:space="preserve"> to</w:t>
      </w:r>
      <w:r w:rsidR="00C027FB">
        <w:t xml:space="preserve"> chiral phase transition </w:t>
      </w:r>
      <w:r w:rsidR="00E54FB3">
        <w:t>and show</w:t>
      </w:r>
      <w:r w:rsidR="00C027FB">
        <w:t xml:space="preserve"> “switchable” chirality</w:t>
      </w:r>
      <w:r w:rsidR="00E54FB3">
        <w:t xml:space="preserve"> in the chiral phase.</w:t>
      </w:r>
      <w:r w:rsidR="000913BC">
        <w:t xml:space="preserve"> Such materials are rare, and a</w:t>
      </w:r>
      <w:r w:rsidR="009A7A00">
        <w:t xml:space="preserve">n </w:t>
      </w:r>
      <w:r w:rsidR="00642AAE">
        <w:t>unambiguous</w:t>
      </w:r>
      <w:r w:rsidR="009A7A00">
        <w:t xml:space="preserve"> direct switching of chirality has so-far not been </w:t>
      </w:r>
      <w:r w:rsidR="00642AAE">
        <w:t>demonstrated</w:t>
      </w:r>
      <w:r w:rsidR="00E032DA">
        <w:t>.</w:t>
      </w:r>
      <w:r w:rsidR="00642AAE">
        <w:t xml:space="preserve"> </w:t>
      </w:r>
      <w:r w:rsidR="00E032DA">
        <w:t xml:space="preserve">However, </w:t>
      </w:r>
      <w:r w:rsidR="00642AAE">
        <w:t xml:space="preserve">promising work </w:t>
      </w:r>
      <w:r w:rsidR="00F53225">
        <w:t xml:space="preserve">using laser </w:t>
      </w:r>
      <w:r w:rsidR="00053DAB">
        <w:t>radiation</w:t>
      </w:r>
      <w:r w:rsidR="00F53225">
        <w:t xml:space="preserve"> for </w:t>
      </w:r>
      <w:r w:rsidR="00053DAB">
        <w:t>controlling</w:t>
      </w:r>
      <w:r w:rsidR="00980D22">
        <w:t xml:space="preserve"> </w:t>
      </w:r>
      <w:r w:rsidR="00053DAB">
        <w:t>chirality</w:t>
      </w:r>
      <w:r w:rsidR="00980D22">
        <w:t xml:space="preserve"> have been performed </w:t>
      </w:r>
      <w:r w:rsidR="007E4CE8">
        <w:t>[6]</w:t>
      </w:r>
      <w:r w:rsidR="00C027FB">
        <w:t>.</w:t>
      </w:r>
    </w:p>
    <w:p w14:paraId="27ACA0B8" w14:textId="4EA676C3" w:rsidR="00AE78F7" w:rsidRDefault="00920B9A">
      <w:r>
        <w:t xml:space="preserve">Here we present </w:t>
      </w:r>
      <w:r w:rsidR="00775EF0">
        <w:t xml:space="preserve">an in-depth structural characterization of two new potential </w:t>
      </w:r>
      <w:proofErr w:type="spellStart"/>
      <w:r w:rsidR="00775EF0">
        <w:t>ferrochiral</w:t>
      </w:r>
      <w:proofErr w:type="spellEnd"/>
      <w:r w:rsidR="00775EF0">
        <w:t xml:space="preserve"> materials. </w:t>
      </w:r>
      <w:r w:rsidR="00F567D8">
        <w:t xml:space="preserve">The incommensurate modulated </w:t>
      </w:r>
      <w:r w:rsidR="007A0286">
        <w:t xml:space="preserve">structure of the two </w:t>
      </w:r>
      <w:r w:rsidR="00F567D8">
        <w:t>tetragonal tungsten bronze materials</w:t>
      </w:r>
      <w:r w:rsidR="007A0286">
        <w:t xml:space="preserve"> K</w:t>
      </w:r>
      <w:r w:rsidR="007A0286" w:rsidRPr="007A0286">
        <w:rPr>
          <w:vertAlign w:val="subscript"/>
        </w:rPr>
        <w:t>4</w:t>
      </w:r>
      <w:r w:rsidR="007A0286">
        <w:t>Bi</w:t>
      </w:r>
      <w:r w:rsidR="007A0286" w:rsidRPr="007A0286">
        <w:rPr>
          <w:vertAlign w:val="subscript"/>
        </w:rPr>
        <w:t>2</w:t>
      </w:r>
      <w:r w:rsidR="007A0286">
        <w:t>Nb</w:t>
      </w:r>
      <w:r w:rsidR="007A0286" w:rsidRPr="007A0286">
        <w:rPr>
          <w:vertAlign w:val="subscript"/>
        </w:rPr>
        <w:t>10</w:t>
      </w:r>
      <w:r w:rsidR="007A0286">
        <w:t>O</w:t>
      </w:r>
      <w:r w:rsidR="007A0286" w:rsidRPr="007A0286">
        <w:rPr>
          <w:vertAlign w:val="subscript"/>
        </w:rPr>
        <w:t>30</w:t>
      </w:r>
      <w:r w:rsidR="007A0286">
        <w:t xml:space="preserve"> (KBN) and Rb</w:t>
      </w:r>
      <w:r w:rsidR="007A0286" w:rsidRPr="007A0286">
        <w:rPr>
          <w:vertAlign w:val="subscript"/>
        </w:rPr>
        <w:t>4</w:t>
      </w:r>
      <w:r w:rsidR="007A0286">
        <w:t>Bi</w:t>
      </w:r>
      <w:r w:rsidR="007A0286" w:rsidRPr="007A0286">
        <w:rPr>
          <w:vertAlign w:val="subscript"/>
        </w:rPr>
        <w:t>2</w:t>
      </w:r>
      <w:r w:rsidR="007A0286">
        <w:t>Nb</w:t>
      </w:r>
      <w:r w:rsidR="007A0286" w:rsidRPr="007A0286">
        <w:rPr>
          <w:vertAlign w:val="subscript"/>
        </w:rPr>
        <w:t>10</w:t>
      </w:r>
      <w:r w:rsidR="007A0286">
        <w:t>O</w:t>
      </w:r>
      <w:r w:rsidR="007A0286" w:rsidRPr="007A0286">
        <w:rPr>
          <w:vertAlign w:val="subscript"/>
        </w:rPr>
        <w:t>30</w:t>
      </w:r>
      <w:r w:rsidR="00F567D8">
        <w:t xml:space="preserve"> </w:t>
      </w:r>
      <w:r w:rsidR="007A0286">
        <w:t>(RBN)</w:t>
      </w:r>
      <w:r w:rsidR="00C845E8">
        <w:t xml:space="preserve"> are solved</w:t>
      </w:r>
      <w:r w:rsidR="00525140">
        <w:t xml:space="preserve">, and their functional properties characterized. The incommensurate modulated structures are described by </w:t>
      </w:r>
      <w:proofErr w:type="spellStart"/>
      <w:r w:rsidR="00525140">
        <w:t>superspace</w:t>
      </w:r>
      <w:proofErr w:type="spellEnd"/>
      <w:r w:rsidR="00525140">
        <w:t xml:space="preserve"> group </w:t>
      </w:r>
      <w:r w:rsidR="00D633DD">
        <w:rPr>
          <w:i/>
          <w:iCs/>
        </w:rPr>
        <w:t>P</w:t>
      </w:r>
      <w:r w:rsidR="00D633DD">
        <w:t>42</w:t>
      </w:r>
      <w:r w:rsidR="00D633DD" w:rsidRPr="00D633DD">
        <w:rPr>
          <w:vertAlign w:val="subscript"/>
        </w:rPr>
        <w:t>1</w:t>
      </w:r>
      <w:r w:rsidR="00D633DD">
        <w:t>2(00</w:t>
      </w:r>
      <w:proofErr w:type="gramStart"/>
      <w:r w:rsidR="00D633DD">
        <w:t>γ)</w:t>
      </w:r>
      <w:r w:rsidR="00D633DD">
        <w:rPr>
          <w:i/>
          <w:iCs/>
        </w:rPr>
        <w:t>q</w:t>
      </w:r>
      <w:proofErr w:type="gramEnd"/>
      <w:r w:rsidR="00D633DD">
        <w:t>00</w:t>
      </w:r>
      <w:r w:rsidR="00D633DD">
        <w:rPr>
          <w:i/>
          <w:iCs/>
        </w:rPr>
        <w:t xml:space="preserve"> </w:t>
      </w:r>
      <w:r w:rsidR="00D633DD">
        <w:t xml:space="preserve">with an unusual helical displacement of </w:t>
      </w:r>
      <w:r w:rsidR="007623C3">
        <w:t>Bi</w:t>
      </w:r>
      <w:r w:rsidR="007623C3" w:rsidRPr="00E51931">
        <w:rPr>
          <w:vertAlign w:val="superscript"/>
        </w:rPr>
        <w:t>3+</w:t>
      </w:r>
      <w:r w:rsidR="007623C3">
        <w:t xml:space="preserve"> atoms along the </w:t>
      </w:r>
      <w:r w:rsidR="007623C3">
        <w:rPr>
          <w:i/>
          <w:iCs/>
        </w:rPr>
        <w:t>c-</w:t>
      </w:r>
      <w:r w:rsidR="007623C3">
        <w:t>direction of the average cell, as shown in Fi</w:t>
      </w:r>
      <w:r w:rsidR="008C0C99">
        <w:t xml:space="preserve">g. 1. </w:t>
      </w:r>
      <w:r w:rsidR="008C0C99">
        <w:rPr>
          <w:i/>
          <w:iCs/>
        </w:rPr>
        <w:t>P</w:t>
      </w:r>
      <w:r w:rsidR="008C0C99">
        <w:t>42</w:t>
      </w:r>
      <w:r w:rsidR="008C0C99" w:rsidRPr="00D633DD">
        <w:rPr>
          <w:vertAlign w:val="subscript"/>
        </w:rPr>
        <w:t>1</w:t>
      </w:r>
      <w:r w:rsidR="008C0C99">
        <w:t xml:space="preserve">2 is one of the 43 </w:t>
      </w:r>
      <w:r w:rsidR="008C0C99">
        <w:rPr>
          <w:i/>
          <w:iCs/>
        </w:rPr>
        <w:t xml:space="preserve">non-enantiomorphic </w:t>
      </w:r>
      <w:proofErr w:type="spellStart"/>
      <w:r w:rsidR="00D761C6">
        <w:t>Sohncke</w:t>
      </w:r>
      <w:proofErr w:type="spellEnd"/>
      <w:r w:rsidR="00D761C6">
        <w:t xml:space="preserve"> space group, and </w:t>
      </w:r>
      <w:r w:rsidR="001B00F0">
        <w:t>the structure is thus chiral due to the chiral</w:t>
      </w:r>
      <w:r w:rsidR="00E51931">
        <w:t>ity of the Bi</w:t>
      </w:r>
      <w:r w:rsidR="00E51931" w:rsidRPr="00E51931">
        <w:rPr>
          <w:vertAlign w:val="superscript"/>
        </w:rPr>
        <w:t>3+</w:t>
      </w:r>
      <w:r w:rsidR="00E51931">
        <w:t xml:space="preserve"> helix in the structure. </w:t>
      </w:r>
      <w:r w:rsidR="00B65701">
        <w:t xml:space="preserve">The </w:t>
      </w:r>
      <w:r w:rsidR="00FB71DA">
        <w:t xml:space="preserve">order parameter of the achiral to chiral phase transition is shown to </w:t>
      </w:r>
      <w:r w:rsidR="002231DC">
        <w:t xml:space="preserve">transform as </w:t>
      </w:r>
      <w:r w:rsidR="0041066F">
        <w:t>the irreducible repr</w:t>
      </w:r>
      <w:r w:rsidR="00BC2255">
        <w:t>esentation</w:t>
      </w:r>
      <w:r w:rsidR="00C770D0">
        <w:t xml:space="preserve"> </w:t>
      </w:r>
      <m:oMath>
        <m:sSub>
          <m:sSubPr>
            <m:ctrlPr>
              <w:rPr>
                <w:rFonts w:ascii="Cambria Math" w:hAnsi="Cambria Math"/>
                <w:i/>
                <w:snapToGrid w:val="0"/>
                <w:color w:val="000000"/>
                <w:szCs w:val="22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</m:oMath>
      <w:r w:rsidR="00BC2255">
        <w:t xml:space="preserve"> (</w:t>
      </w:r>
      <w:r w:rsidR="00BC2255">
        <w:rPr>
          <w:i/>
          <w:iCs/>
        </w:rPr>
        <w:t>i.e.</w:t>
      </w:r>
      <w:r w:rsidR="00BC2255">
        <w:t xml:space="preserve"> the order parameter i</w:t>
      </w:r>
      <w:r w:rsidR="00A82E4C">
        <w:t>s</w:t>
      </w:r>
      <w:r w:rsidR="00BC2255">
        <w:t xml:space="preserve"> the chirality itself), with a </w:t>
      </w:r>
      <w:r w:rsidR="00674540">
        <w:t xml:space="preserve">second order parameter </w:t>
      </w:r>
      <w:r w:rsidR="00ED60F3">
        <w:t>transforming</w:t>
      </w:r>
      <w:r w:rsidR="00674540">
        <w:t xml:space="preserve"> as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-</m:t>
            </m:r>
          </m:sup>
        </m:sSubSup>
      </m:oMath>
      <w:r w:rsidR="00027764">
        <w:t>.</w:t>
      </w:r>
      <w:r w:rsidR="009E3E59">
        <w:t xml:space="preserve"> The</w:t>
      </w:r>
      <w:r w:rsidR="00027764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-</m:t>
            </m:r>
          </m:sup>
        </m:sSubSup>
      </m:oMath>
      <w:r w:rsidR="00027764">
        <w:t xml:space="preserve"> </w:t>
      </w:r>
      <w:r w:rsidR="009E3E59">
        <w:t xml:space="preserve">mode </w:t>
      </w:r>
      <w:r w:rsidR="00027764">
        <w:t>induces piezoelectricity</w:t>
      </w:r>
      <w:r w:rsidR="009E3E59">
        <w:t xml:space="preserve">, that we have experimentally verified. </w:t>
      </w:r>
      <w:r w:rsidR="00B82786">
        <w:t>Finally</w:t>
      </w:r>
      <w:r w:rsidR="009E3E59">
        <w:t xml:space="preserve">, </w:t>
      </w:r>
      <w:r w:rsidR="008041FF">
        <w:t xml:space="preserve">through group theory and invariant analysis, we propose that combining </w:t>
      </w:r>
      <w:r w:rsidR="00B82786">
        <w:t>symmetry breaking share strain</w:t>
      </w:r>
      <w:r w:rsidR="007C1A21">
        <w:t xml:space="preserve"> (transforming as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5</m:t>
            </m:r>
          </m:sub>
          <m:sup>
            <m:r>
              <w:rPr>
                <w:rFonts w:ascii="Cambria Math" w:hAnsi="Cambria Math"/>
              </w:rPr>
              <m:t>+</m:t>
            </m:r>
          </m:sup>
        </m:sSubSup>
      </m:oMath>
      <w:r w:rsidR="007C1A21">
        <w:t>)</w:t>
      </w:r>
      <w:r w:rsidR="00B82786">
        <w:t xml:space="preserve"> and an electric field</w:t>
      </w:r>
      <w:r w:rsidR="007C1A21">
        <w:t xml:space="preserve"> (transforming as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5</m:t>
            </m:r>
          </m:sub>
          <m:sup>
            <m:r>
              <w:rPr>
                <w:rFonts w:ascii="Cambria Math" w:hAnsi="Cambria Math"/>
              </w:rPr>
              <m:t>-</m:t>
            </m:r>
          </m:sup>
        </m:sSubSup>
      </m:oMath>
      <w:r w:rsidR="007C1A21">
        <w:t xml:space="preserve">) can be </w:t>
      </w:r>
      <w:r w:rsidR="002F4764">
        <w:t xml:space="preserve">used </w:t>
      </w:r>
      <w:r w:rsidR="001D081A">
        <w:t>a</w:t>
      </w:r>
      <w:r w:rsidR="00D37AA1">
        <w:t>s a</w:t>
      </w:r>
      <w:r w:rsidR="001D081A">
        <w:t xml:space="preserve"> conjugate field</w:t>
      </w:r>
      <w:r w:rsidR="00D37AA1">
        <w:t xml:space="preserve"> to</w:t>
      </w:r>
      <w:r w:rsidR="002F4764">
        <w:t xml:space="preserve"> switch the chirality through its link with the piezoelectric properties of the materials. This would then be </w:t>
      </w:r>
      <w:r w:rsidR="00CD404B">
        <w:t>a way of demonstrating chiral switching</w:t>
      </w:r>
      <w:r w:rsidR="00E5786C">
        <w:t xml:space="preserve"> and provide solid evidence for </w:t>
      </w:r>
      <w:proofErr w:type="spellStart"/>
      <w:r w:rsidR="00E5786C">
        <w:t>ferrochirality</w:t>
      </w:r>
      <w:proofErr w:type="spellEnd"/>
      <w:r w:rsidR="00E5786C">
        <w:t xml:space="preserve"> in these materials.</w:t>
      </w:r>
    </w:p>
    <w:p w14:paraId="249E7130" w14:textId="66B44E06" w:rsidR="00AE78F7" w:rsidRDefault="008D7B0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69F11C" wp14:editId="45885F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21145538" name="_x0000_tole_rId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51656" id="_x0000_tole_rId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="004F4855">
        <w:rPr>
          <w:noProof/>
        </w:rPr>
        <w:drawing>
          <wp:inline distT="0" distB="0" distL="0" distR="0" wp14:anchorId="2E223BDC" wp14:editId="2120B891">
            <wp:extent cx="4821126" cy="1848494"/>
            <wp:effectExtent l="0" t="0" r="0" b="0"/>
            <wp:docPr id="873643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4388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1126" cy="184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67CED" w14:textId="046CC345" w:rsidR="00741302" w:rsidRDefault="008D7B02" w:rsidP="004C68C4">
      <w:pPr>
        <w:pStyle w:val="Heading6"/>
      </w:pPr>
      <w:r>
        <w:rPr>
          <w:b/>
        </w:rPr>
        <w:t>Figure 1</w:t>
      </w:r>
      <w:r>
        <w:t xml:space="preserve">. </w:t>
      </w:r>
      <w:r w:rsidR="00157B8D">
        <w:t>The achiral to chiral phase transition found in KBN and RBN.</w:t>
      </w:r>
    </w:p>
    <w:p w14:paraId="1E58BA31" w14:textId="77777777" w:rsidR="004C68C4" w:rsidRPr="004C68C4" w:rsidRDefault="004C68C4" w:rsidP="004C68C4"/>
    <w:p w14:paraId="55DB50EF" w14:textId="7F0B230A" w:rsidR="00FB7127" w:rsidRPr="005D4F93" w:rsidRDefault="004C68C4" w:rsidP="00FB7127">
      <w:pPr>
        <w:pStyle w:val="Heading4"/>
        <w:rPr>
          <w:lang w:val="de-DE"/>
        </w:rPr>
      </w:pPr>
      <w:r>
        <w:rPr>
          <w:lang w:val="es-ES"/>
        </w:rPr>
        <w:t>[</w:t>
      </w:r>
      <w:r w:rsidR="00FB7127" w:rsidRPr="00975EC4">
        <w:rPr>
          <w:lang w:val="es-ES"/>
        </w:rPr>
        <w:t xml:space="preserve">1] </w:t>
      </w:r>
      <w:proofErr w:type="spellStart"/>
      <w:r w:rsidR="00FB7127" w:rsidRPr="00975EC4">
        <w:rPr>
          <w:lang w:val="es-ES"/>
        </w:rPr>
        <w:t>Bousquet</w:t>
      </w:r>
      <w:proofErr w:type="spellEnd"/>
      <w:r w:rsidR="00FB7127" w:rsidRPr="00975EC4">
        <w:rPr>
          <w:lang w:val="es-ES"/>
        </w:rPr>
        <w:t xml:space="preserve">, E.; </w:t>
      </w:r>
      <w:proofErr w:type="spellStart"/>
      <w:r w:rsidR="00FB7127" w:rsidRPr="00975EC4">
        <w:rPr>
          <w:lang w:val="es-ES"/>
        </w:rPr>
        <w:t>Fava</w:t>
      </w:r>
      <w:proofErr w:type="spellEnd"/>
      <w:r w:rsidR="00FB7127" w:rsidRPr="00975EC4">
        <w:rPr>
          <w:lang w:val="es-ES"/>
        </w:rPr>
        <w:t xml:space="preserve">, M.; </w:t>
      </w:r>
      <w:proofErr w:type="spellStart"/>
      <w:r w:rsidR="00FB7127" w:rsidRPr="00975EC4">
        <w:rPr>
          <w:lang w:val="es-ES"/>
        </w:rPr>
        <w:t>Romestan</w:t>
      </w:r>
      <w:proofErr w:type="spellEnd"/>
      <w:r w:rsidR="00FB7127" w:rsidRPr="00975EC4">
        <w:rPr>
          <w:lang w:val="es-ES"/>
        </w:rPr>
        <w:t xml:space="preserve">, Z.; Gómez-Ortiz, F.; McCabe, E. E. </w:t>
      </w:r>
      <w:r w:rsidR="008A162C" w:rsidRPr="00975EC4">
        <w:rPr>
          <w:lang w:val="es-ES"/>
        </w:rPr>
        <w:t xml:space="preserve">&amp; </w:t>
      </w:r>
      <w:r w:rsidR="00FB7127" w:rsidRPr="00975EC4">
        <w:rPr>
          <w:lang w:val="es-ES"/>
        </w:rPr>
        <w:t xml:space="preserve">Romero, A. H. </w:t>
      </w:r>
      <w:r w:rsidR="00975EC4" w:rsidRPr="00975EC4">
        <w:rPr>
          <w:lang w:val="es-ES"/>
        </w:rPr>
        <w:t>(2025).</w:t>
      </w:r>
      <w:r w:rsidR="00FB7127" w:rsidRPr="00975EC4">
        <w:rPr>
          <w:lang w:val="es-ES"/>
        </w:rPr>
        <w:t xml:space="preserve"> </w:t>
      </w:r>
      <w:r w:rsidR="00FB7127" w:rsidRPr="005D4F93">
        <w:rPr>
          <w:i/>
          <w:iCs/>
          <w:lang w:val="de-DE"/>
        </w:rPr>
        <w:t>J</w:t>
      </w:r>
      <w:r w:rsidR="0084141C" w:rsidRPr="005D4F93">
        <w:rPr>
          <w:i/>
          <w:iCs/>
          <w:lang w:val="de-DE"/>
        </w:rPr>
        <w:t>.</w:t>
      </w:r>
      <w:r w:rsidR="00FB7127" w:rsidRPr="005D4F93">
        <w:rPr>
          <w:i/>
          <w:iCs/>
          <w:lang w:val="de-DE"/>
        </w:rPr>
        <w:t xml:space="preserve"> Phy</w:t>
      </w:r>
      <w:r w:rsidR="0084141C" w:rsidRPr="005D4F93">
        <w:rPr>
          <w:i/>
          <w:iCs/>
          <w:lang w:val="de-DE"/>
        </w:rPr>
        <w:t>s.</w:t>
      </w:r>
      <w:r w:rsidR="00FB7127" w:rsidRPr="005D4F93">
        <w:rPr>
          <w:i/>
          <w:iCs/>
          <w:lang w:val="de-DE"/>
        </w:rPr>
        <w:t xml:space="preserve"> Condens</w:t>
      </w:r>
      <w:r w:rsidR="0084141C" w:rsidRPr="005D4F93">
        <w:rPr>
          <w:i/>
          <w:iCs/>
          <w:lang w:val="de-DE"/>
        </w:rPr>
        <w:t>.</w:t>
      </w:r>
      <w:r w:rsidR="00FB7127" w:rsidRPr="005D4F93">
        <w:rPr>
          <w:i/>
          <w:iCs/>
          <w:lang w:val="de-DE"/>
        </w:rPr>
        <w:t xml:space="preserve"> Matter</w:t>
      </w:r>
      <w:r w:rsidR="00F9041F" w:rsidRPr="005D4F93">
        <w:rPr>
          <w:lang w:val="de-DE"/>
        </w:rPr>
        <w:t>,</w:t>
      </w:r>
      <w:r w:rsidR="00FB7127" w:rsidRPr="005D4F93">
        <w:rPr>
          <w:lang w:val="de-DE"/>
        </w:rPr>
        <w:t xml:space="preserve"> </w:t>
      </w:r>
      <w:r w:rsidR="00FB7127" w:rsidRPr="005D4F93">
        <w:rPr>
          <w:b/>
          <w:bCs w:val="0"/>
          <w:lang w:val="de-DE"/>
        </w:rPr>
        <w:t>37</w:t>
      </w:r>
      <w:r w:rsidR="00F9041F" w:rsidRPr="005D4F93">
        <w:rPr>
          <w:lang w:val="de-DE"/>
        </w:rPr>
        <w:t>,</w:t>
      </w:r>
      <w:r w:rsidR="00FB7127" w:rsidRPr="005D4F93">
        <w:rPr>
          <w:lang w:val="de-DE"/>
        </w:rPr>
        <w:t xml:space="preserve"> 16</w:t>
      </w:r>
      <w:r w:rsidR="00E62F30" w:rsidRPr="005D4F93">
        <w:rPr>
          <w:lang w:val="de-DE"/>
        </w:rPr>
        <w:t>.</w:t>
      </w:r>
    </w:p>
    <w:p w14:paraId="59BCC574" w14:textId="0F82A1A9" w:rsidR="00FB7127" w:rsidRPr="005D4F93" w:rsidRDefault="00FB7127" w:rsidP="00FB7127">
      <w:pPr>
        <w:pStyle w:val="Heading4"/>
        <w:rPr>
          <w:lang w:val="de-DE"/>
        </w:rPr>
      </w:pPr>
      <w:r w:rsidRPr="005D4F93">
        <w:rPr>
          <w:lang w:val="de-DE"/>
        </w:rPr>
        <w:t xml:space="preserve">[2] Glazer, A. M.; Stadnicka, K. </w:t>
      </w:r>
      <w:r w:rsidR="00620E10" w:rsidRPr="005D4F93">
        <w:rPr>
          <w:lang w:val="de-DE"/>
        </w:rPr>
        <w:t>(1986)</w:t>
      </w:r>
      <w:r w:rsidRPr="005D4F93">
        <w:rPr>
          <w:lang w:val="de-DE"/>
        </w:rPr>
        <w:t xml:space="preserve">. </w:t>
      </w:r>
      <w:r w:rsidRPr="005D4F93">
        <w:rPr>
          <w:i/>
          <w:iCs/>
          <w:lang w:val="de-DE"/>
        </w:rPr>
        <w:t>J. Appl. Crystallogr</w:t>
      </w:r>
      <w:r w:rsidRPr="005D4F93">
        <w:rPr>
          <w:lang w:val="de-DE"/>
        </w:rPr>
        <w:t xml:space="preserve">. 1986, </w:t>
      </w:r>
      <w:r w:rsidRPr="005D4F93">
        <w:rPr>
          <w:b/>
          <w:bCs w:val="0"/>
          <w:lang w:val="de-DE"/>
        </w:rPr>
        <w:t>19</w:t>
      </w:r>
      <w:r w:rsidR="000F793E" w:rsidRPr="005D4F93">
        <w:rPr>
          <w:lang w:val="de-DE"/>
        </w:rPr>
        <w:t xml:space="preserve">, </w:t>
      </w:r>
      <w:r w:rsidRPr="005D4F93">
        <w:rPr>
          <w:lang w:val="de-DE"/>
        </w:rPr>
        <w:t>2</w:t>
      </w:r>
      <w:r w:rsidR="000F793E" w:rsidRPr="005D4F93">
        <w:rPr>
          <w:lang w:val="de-DE"/>
        </w:rPr>
        <w:t>.</w:t>
      </w:r>
    </w:p>
    <w:p w14:paraId="39EFCACF" w14:textId="0793AEC8" w:rsidR="00FB7127" w:rsidRPr="005A3210" w:rsidRDefault="00FB7127" w:rsidP="00FB7127">
      <w:pPr>
        <w:pStyle w:val="Heading4"/>
        <w:rPr>
          <w:lang w:val="de-DE"/>
        </w:rPr>
      </w:pPr>
      <w:r>
        <w:rPr>
          <w:lang w:val="de-DE"/>
        </w:rPr>
        <w:t>[</w:t>
      </w:r>
      <w:r w:rsidRPr="00FB7127">
        <w:rPr>
          <w:lang w:val="de-DE"/>
        </w:rPr>
        <w:t xml:space="preserve">3] Mühlbauer, S.; Binz, B.; </w:t>
      </w:r>
      <w:proofErr w:type="spellStart"/>
      <w:r w:rsidRPr="00FB7127">
        <w:rPr>
          <w:lang w:val="de-DE"/>
        </w:rPr>
        <w:t>Jonietz</w:t>
      </w:r>
      <w:proofErr w:type="spellEnd"/>
      <w:r w:rsidRPr="00FB7127">
        <w:rPr>
          <w:lang w:val="de-DE"/>
        </w:rPr>
        <w:t xml:space="preserve">, F.; Pfleiderer, C.; Rosch, A.; Neubauer, A.; Georgii, R.; </w:t>
      </w:r>
      <w:proofErr w:type="spellStart"/>
      <w:r w:rsidRPr="00FB7127">
        <w:rPr>
          <w:lang w:val="de-DE"/>
        </w:rPr>
        <w:t>Böni</w:t>
      </w:r>
      <w:proofErr w:type="spellEnd"/>
      <w:r w:rsidRPr="00FB7127">
        <w:rPr>
          <w:lang w:val="de-DE"/>
        </w:rPr>
        <w:t xml:space="preserve">, P. </w:t>
      </w:r>
      <w:r w:rsidR="005A3210">
        <w:rPr>
          <w:lang w:val="de-DE"/>
        </w:rPr>
        <w:t>(2009)</w:t>
      </w:r>
      <w:r w:rsidRPr="00FB7127">
        <w:rPr>
          <w:lang w:val="de-DE"/>
        </w:rPr>
        <w:t xml:space="preserve">. </w:t>
      </w:r>
      <w:proofErr w:type="spellStart"/>
      <w:r w:rsidRPr="005A3210">
        <w:rPr>
          <w:i/>
          <w:iCs/>
          <w:lang w:val="de-DE"/>
        </w:rPr>
        <w:t>Sci</w:t>
      </w:r>
      <w:proofErr w:type="spellEnd"/>
      <w:r w:rsidRPr="005A3210">
        <w:rPr>
          <w:lang w:val="de-DE"/>
        </w:rPr>
        <w:t xml:space="preserve">., </w:t>
      </w:r>
      <w:r w:rsidRPr="005A3210">
        <w:rPr>
          <w:b/>
          <w:bCs w:val="0"/>
          <w:lang w:val="de-DE"/>
        </w:rPr>
        <w:t>323</w:t>
      </w:r>
      <w:r w:rsidR="00C6535F">
        <w:rPr>
          <w:lang w:val="de-DE"/>
        </w:rPr>
        <w:t xml:space="preserve">, </w:t>
      </w:r>
      <w:r w:rsidRPr="005A3210">
        <w:rPr>
          <w:lang w:val="de-DE"/>
        </w:rPr>
        <w:t>5916.</w:t>
      </w:r>
    </w:p>
    <w:p w14:paraId="3F442E9B" w14:textId="1347317D" w:rsidR="00FB7127" w:rsidRPr="005D4F93" w:rsidRDefault="00FB7127" w:rsidP="00FB7127">
      <w:pPr>
        <w:pStyle w:val="Heading4"/>
        <w:rPr>
          <w:lang w:val="de-DE"/>
        </w:rPr>
      </w:pPr>
      <w:r w:rsidRPr="000F793E">
        <w:rPr>
          <w:lang w:val="de-DE"/>
        </w:rPr>
        <w:t xml:space="preserve">[4] Lodahl, P.; </w:t>
      </w:r>
      <w:proofErr w:type="spellStart"/>
      <w:r w:rsidRPr="000F793E">
        <w:rPr>
          <w:lang w:val="de-DE"/>
        </w:rPr>
        <w:t>Mahmoodian</w:t>
      </w:r>
      <w:proofErr w:type="spellEnd"/>
      <w:r w:rsidRPr="000F793E">
        <w:rPr>
          <w:lang w:val="de-DE"/>
        </w:rPr>
        <w:t xml:space="preserve">, S.; Stobbe, S.; </w:t>
      </w:r>
      <w:proofErr w:type="spellStart"/>
      <w:r w:rsidRPr="000F793E">
        <w:rPr>
          <w:lang w:val="de-DE"/>
        </w:rPr>
        <w:t>Rauschenbeutel</w:t>
      </w:r>
      <w:proofErr w:type="spellEnd"/>
      <w:r w:rsidRPr="000F793E">
        <w:rPr>
          <w:lang w:val="de-DE"/>
        </w:rPr>
        <w:t xml:space="preserve">, A.; </w:t>
      </w:r>
      <w:proofErr w:type="spellStart"/>
      <w:r w:rsidRPr="000F793E">
        <w:rPr>
          <w:lang w:val="de-DE"/>
        </w:rPr>
        <w:t>Schneeweiss</w:t>
      </w:r>
      <w:proofErr w:type="spellEnd"/>
      <w:r w:rsidRPr="000F793E">
        <w:rPr>
          <w:lang w:val="de-DE"/>
        </w:rPr>
        <w:t xml:space="preserve">, P.; Volz, J.; Pichler, H.; Zoller, P. </w:t>
      </w:r>
      <w:r w:rsidR="000F793E" w:rsidRPr="000F793E">
        <w:rPr>
          <w:lang w:val="de-DE"/>
        </w:rPr>
        <w:t>(2017)</w:t>
      </w:r>
      <w:r w:rsidRPr="000F793E">
        <w:rPr>
          <w:lang w:val="de-DE"/>
        </w:rPr>
        <w:t xml:space="preserve">. </w:t>
      </w:r>
      <w:r w:rsidRPr="005D4F93">
        <w:rPr>
          <w:i/>
          <w:iCs/>
          <w:lang w:val="de-DE"/>
        </w:rPr>
        <w:t>Nat</w:t>
      </w:r>
      <w:r w:rsidRPr="005D4F93">
        <w:rPr>
          <w:lang w:val="de-DE"/>
        </w:rPr>
        <w:t xml:space="preserve">., </w:t>
      </w:r>
      <w:r w:rsidRPr="005D4F93">
        <w:rPr>
          <w:b/>
          <w:bCs w:val="0"/>
          <w:lang w:val="de-DE"/>
        </w:rPr>
        <w:t>541</w:t>
      </w:r>
      <w:r w:rsidR="00C6535F" w:rsidRPr="005D4F93">
        <w:rPr>
          <w:lang w:val="de-DE"/>
        </w:rPr>
        <w:t xml:space="preserve">, </w:t>
      </w:r>
      <w:r w:rsidRPr="005D4F93">
        <w:rPr>
          <w:lang w:val="de-DE"/>
        </w:rPr>
        <w:t>7638.</w:t>
      </w:r>
    </w:p>
    <w:p w14:paraId="35BCCE1F" w14:textId="10C11C7A" w:rsidR="00FB7127" w:rsidRPr="005D4F93" w:rsidRDefault="00FB7127" w:rsidP="00FB7127">
      <w:pPr>
        <w:pStyle w:val="Heading4"/>
        <w:rPr>
          <w:lang w:val="de-DE"/>
        </w:rPr>
      </w:pPr>
      <w:r w:rsidRPr="005D4F93">
        <w:rPr>
          <w:lang w:val="de-DE"/>
        </w:rPr>
        <w:t>[5] Pendry, J. B. A</w:t>
      </w:r>
      <w:r w:rsidR="00147FF2" w:rsidRPr="005D4F93">
        <w:rPr>
          <w:lang w:val="de-DE"/>
        </w:rPr>
        <w:t>. (2004)</w:t>
      </w:r>
      <w:r w:rsidRPr="005D4F93">
        <w:rPr>
          <w:lang w:val="de-DE"/>
        </w:rPr>
        <w:t xml:space="preserve">. </w:t>
      </w:r>
      <w:r w:rsidRPr="005D4F93">
        <w:rPr>
          <w:i/>
          <w:iCs/>
          <w:lang w:val="de-DE"/>
        </w:rPr>
        <w:t>Sci</w:t>
      </w:r>
      <w:r w:rsidRPr="005D4F93">
        <w:rPr>
          <w:lang w:val="de-DE"/>
        </w:rPr>
        <w:t xml:space="preserve">., </w:t>
      </w:r>
      <w:r w:rsidRPr="005D4F93">
        <w:rPr>
          <w:b/>
          <w:bCs w:val="0"/>
          <w:lang w:val="de-DE"/>
        </w:rPr>
        <w:t>306</w:t>
      </w:r>
      <w:r w:rsidR="00C6535F" w:rsidRPr="005D4F93">
        <w:rPr>
          <w:lang w:val="de-DE"/>
        </w:rPr>
        <w:t xml:space="preserve">, </w:t>
      </w:r>
      <w:r w:rsidRPr="005D4F93">
        <w:rPr>
          <w:lang w:val="de-DE"/>
        </w:rPr>
        <w:t>5700.</w:t>
      </w:r>
    </w:p>
    <w:p w14:paraId="7EF79707" w14:textId="4EE938A2" w:rsidR="00AE78F7" w:rsidRDefault="00FB7127" w:rsidP="00FE4600">
      <w:pPr>
        <w:pStyle w:val="Heading4"/>
      </w:pPr>
      <w:r w:rsidRPr="005D4F93">
        <w:rPr>
          <w:lang w:val="de-DE"/>
        </w:rPr>
        <w:t>[6] Hayashida, T.; Kimura, K.; Kimura, T.</w:t>
      </w:r>
      <w:r w:rsidR="003D7A0F" w:rsidRPr="005D4F93">
        <w:rPr>
          <w:lang w:val="de-DE"/>
        </w:rPr>
        <w:t xml:space="preserve"> (2022)</w:t>
      </w:r>
      <w:r w:rsidRPr="005D4F93">
        <w:rPr>
          <w:lang w:val="de-DE"/>
        </w:rPr>
        <w:t xml:space="preserve">. </w:t>
      </w:r>
      <w:r w:rsidRPr="00CC7EC4">
        <w:rPr>
          <w:i/>
          <w:iCs/>
        </w:rPr>
        <w:t>J. Phys. Chem. Lett</w:t>
      </w:r>
      <w:r>
        <w:t xml:space="preserve">., </w:t>
      </w:r>
      <w:r w:rsidRPr="00CC7EC4">
        <w:rPr>
          <w:b/>
          <w:bCs w:val="0"/>
        </w:rPr>
        <w:t>13</w:t>
      </w:r>
      <w:r w:rsidR="00376038">
        <w:t xml:space="preserve">, </w:t>
      </w:r>
      <w:r>
        <w:t>17.</w:t>
      </w:r>
      <w:r w:rsidR="00DD2086">
        <w:fldChar w:fldCharType="begin"/>
      </w:r>
      <w:r w:rsidR="00DD2086">
        <w:instrText xml:space="preserve"> ADDIN EN.REFLIST </w:instrText>
      </w:r>
      <w:r w:rsidR="00DD2086">
        <w:fldChar w:fldCharType="separate"/>
      </w:r>
      <w:r w:rsidR="00DD2086">
        <w:fldChar w:fldCharType="end"/>
      </w:r>
    </w:p>
    <w:sectPr w:rsidR="00AE78F7">
      <w:headerReference w:type="default" r:id="rId8"/>
      <w:footerReference w:type="default" r:id="rId9"/>
      <w:pgSz w:w="12240" w:h="15840"/>
      <w:pgMar w:top="765" w:right="720" w:bottom="765" w:left="720" w:header="708" w:footer="708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9DC3C3" w14:textId="77777777" w:rsidR="001A6325" w:rsidRDefault="001A6325">
      <w:pPr>
        <w:spacing w:after="0"/>
      </w:pPr>
      <w:r>
        <w:separator/>
      </w:r>
    </w:p>
  </w:endnote>
  <w:endnote w:type="continuationSeparator" w:id="0">
    <w:p w14:paraId="22A8819C" w14:textId="77777777" w:rsidR="001A6325" w:rsidRDefault="001A632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E078D" w14:textId="77777777" w:rsidR="00AE78F7" w:rsidRDefault="008D7B02">
    <w:pPr>
      <w:pStyle w:val="Footer"/>
    </w:pPr>
    <w:r>
      <w:t xml:space="preserve">Acta </w:t>
    </w:r>
    <w:proofErr w:type="spellStart"/>
    <w:r>
      <w:t>Cryst</w:t>
    </w:r>
    <w:proofErr w:type="spellEnd"/>
    <w:r>
      <w:t>. (2025). A81, e1</w:t>
    </w:r>
  </w:p>
  <w:p w14:paraId="198469AB" w14:textId="77777777" w:rsidR="00AE78F7" w:rsidRDefault="00AE78F7">
    <w:pPr>
      <w:tabs>
        <w:tab w:val="center" w:pos="4703"/>
        <w:tab w:val="right" w:pos="94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F76CE" w14:textId="77777777" w:rsidR="001A6325" w:rsidRDefault="001A6325">
      <w:pPr>
        <w:spacing w:after="0"/>
      </w:pPr>
      <w:r>
        <w:separator/>
      </w:r>
    </w:p>
  </w:footnote>
  <w:footnote w:type="continuationSeparator" w:id="0">
    <w:p w14:paraId="64251E84" w14:textId="77777777" w:rsidR="001A6325" w:rsidRDefault="001A632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8B050" w14:textId="3455F90E" w:rsidR="00AE78F7" w:rsidRDefault="008D7B02">
    <w:pPr>
      <w:tabs>
        <w:tab w:val="center" w:pos="4703"/>
        <w:tab w:val="right" w:pos="9406"/>
      </w:tabs>
    </w:pPr>
    <w:r>
      <w:rPr>
        <w:b/>
        <w:bCs/>
      </w:rPr>
      <w:t>MS</w:t>
    </w:r>
    <w:r>
      <w:tab/>
    </w:r>
    <w:proofErr w:type="spellStart"/>
    <w:r>
      <w:rPr>
        <w:b/>
        <w:bCs/>
      </w:rPr>
      <w:t>Microsymposium</w:t>
    </w:r>
    <w:proofErr w:type="spellEnd"/>
    <w:r>
      <w:tab/>
    </w:r>
    <w:r w:rsidR="00E73752">
      <w:t>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 Copy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vp22sef6dvzrhe0w5gvawvns9f2vzaxetzt&quot;&gt;My EndNote Library_1-Saved-Converted&lt;record-ids&gt;&lt;item&gt;888&lt;/item&gt;&lt;/record-ids&gt;&lt;/item&gt;&lt;/Libraries&gt;"/>
  </w:docVars>
  <w:rsids>
    <w:rsidRoot w:val="00AE78F7"/>
    <w:rsid w:val="00014900"/>
    <w:rsid w:val="00023D89"/>
    <w:rsid w:val="00027764"/>
    <w:rsid w:val="00053DAB"/>
    <w:rsid w:val="000913BC"/>
    <w:rsid w:val="000C48A7"/>
    <w:rsid w:val="000F793E"/>
    <w:rsid w:val="001368BD"/>
    <w:rsid w:val="00146072"/>
    <w:rsid w:val="00147FF2"/>
    <w:rsid w:val="00157B8D"/>
    <w:rsid w:val="001A6325"/>
    <w:rsid w:val="001B00F0"/>
    <w:rsid w:val="001D081A"/>
    <w:rsid w:val="00216577"/>
    <w:rsid w:val="002231DC"/>
    <w:rsid w:val="00266F80"/>
    <w:rsid w:val="002E7D1E"/>
    <w:rsid w:val="002F4764"/>
    <w:rsid w:val="00341BA4"/>
    <w:rsid w:val="00365CDC"/>
    <w:rsid w:val="00376038"/>
    <w:rsid w:val="003A7377"/>
    <w:rsid w:val="003D7A0F"/>
    <w:rsid w:val="003E0587"/>
    <w:rsid w:val="0041066F"/>
    <w:rsid w:val="004A29C8"/>
    <w:rsid w:val="004C68C4"/>
    <w:rsid w:val="004D4304"/>
    <w:rsid w:val="004F4855"/>
    <w:rsid w:val="00525140"/>
    <w:rsid w:val="005A3210"/>
    <w:rsid w:val="005A3F0A"/>
    <w:rsid w:val="005D4F93"/>
    <w:rsid w:val="005E3601"/>
    <w:rsid w:val="005F07BB"/>
    <w:rsid w:val="00620E10"/>
    <w:rsid w:val="00641A7C"/>
    <w:rsid w:val="00642AAE"/>
    <w:rsid w:val="006460A4"/>
    <w:rsid w:val="00674540"/>
    <w:rsid w:val="007320D0"/>
    <w:rsid w:val="00741302"/>
    <w:rsid w:val="007623C3"/>
    <w:rsid w:val="00775EF0"/>
    <w:rsid w:val="007A0286"/>
    <w:rsid w:val="007C1A21"/>
    <w:rsid w:val="007E4CE8"/>
    <w:rsid w:val="008041FF"/>
    <w:rsid w:val="008073C2"/>
    <w:rsid w:val="0084141C"/>
    <w:rsid w:val="00887B6B"/>
    <w:rsid w:val="008A162C"/>
    <w:rsid w:val="008C0C99"/>
    <w:rsid w:val="008D7B02"/>
    <w:rsid w:val="00920B9A"/>
    <w:rsid w:val="00944BD3"/>
    <w:rsid w:val="00975EC4"/>
    <w:rsid w:val="00980D22"/>
    <w:rsid w:val="00981FDD"/>
    <w:rsid w:val="009A7A00"/>
    <w:rsid w:val="009E3E59"/>
    <w:rsid w:val="009F6E45"/>
    <w:rsid w:val="00A4658D"/>
    <w:rsid w:val="00A66DB4"/>
    <w:rsid w:val="00A82E4C"/>
    <w:rsid w:val="00AE78F7"/>
    <w:rsid w:val="00AF124E"/>
    <w:rsid w:val="00B43252"/>
    <w:rsid w:val="00B51A00"/>
    <w:rsid w:val="00B65701"/>
    <w:rsid w:val="00B82786"/>
    <w:rsid w:val="00BA06D2"/>
    <w:rsid w:val="00BB396E"/>
    <w:rsid w:val="00BC137B"/>
    <w:rsid w:val="00BC2255"/>
    <w:rsid w:val="00C027FB"/>
    <w:rsid w:val="00C51B2D"/>
    <w:rsid w:val="00C57B18"/>
    <w:rsid w:val="00C6535F"/>
    <w:rsid w:val="00C770D0"/>
    <w:rsid w:val="00C845E8"/>
    <w:rsid w:val="00C93643"/>
    <w:rsid w:val="00CC7EC4"/>
    <w:rsid w:val="00CD169C"/>
    <w:rsid w:val="00CD404B"/>
    <w:rsid w:val="00CF4A36"/>
    <w:rsid w:val="00D269AC"/>
    <w:rsid w:val="00D30D25"/>
    <w:rsid w:val="00D37AA1"/>
    <w:rsid w:val="00D633DD"/>
    <w:rsid w:val="00D761C6"/>
    <w:rsid w:val="00DD2086"/>
    <w:rsid w:val="00DF4FFB"/>
    <w:rsid w:val="00E032DA"/>
    <w:rsid w:val="00E32140"/>
    <w:rsid w:val="00E51931"/>
    <w:rsid w:val="00E54FB3"/>
    <w:rsid w:val="00E5786C"/>
    <w:rsid w:val="00E62F30"/>
    <w:rsid w:val="00E73752"/>
    <w:rsid w:val="00E970A8"/>
    <w:rsid w:val="00ED60F3"/>
    <w:rsid w:val="00F53225"/>
    <w:rsid w:val="00F567D8"/>
    <w:rsid w:val="00F661A8"/>
    <w:rsid w:val="00F9041F"/>
    <w:rsid w:val="00FB7127"/>
    <w:rsid w:val="00FB71DA"/>
    <w:rsid w:val="00FD530C"/>
    <w:rsid w:val="00FE4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5758E9"/>
  <w14:defaultImageDpi w14:val="32767"/>
  <w15:docId w15:val="{EC1560BD-F844-4E88-9BD7-6756CACBC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275"/>
    <w:pPr>
      <w:spacing w:after="120"/>
      <w:jc w:val="both"/>
    </w:pPr>
    <w:rPr>
      <w:lang w:eastAsia="de-DE"/>
    </w:rPr>
  </w:style>
  <w:style w:type="paragraph" w:styleId="Heading1">
    <w:name w:val="heading 1"/>
    <w:basedOn w:val="Normal"/>
    <w:next w:val="Heading2"/>
    <w:link w:val="Heading1Char"/>
    <w:uiPriority w:val="99"/>
    <w:qFormat/>
    <w:rsid w:val="0092527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Heading2">
    <w:name w:val="heading 2"/>
    <w:basedOn w:val="Normal"/>
    <w:next w:val="Heading3"/>
    <w:link w:val="Heading2Char"/>
    <w:uiPriority w:val="99"/>
    <w:qFormat/>
    <w:rsid w:val="00925275"/>
    <w:pPr>
      <w:keepNext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E03DB"/>
    <w:pPr>
      <w:keepNext/>
      <w:jc w:val="center"/>
      <w:outlineLvl w:val="2"/>
    </w:pPr>
    <w:rPr>
      <w:bCs/>
      <w:i/>
      <w:szCs w:val="24"/>
      <w:lang w:eastAsia="cs-CZ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F732E"/>
    <w:pPr>
      <w:keepNext/>
      <w:ind w:left="567" w:hanging="567"/>
      <w:outlineLvl w:val="3"/>
    </w:pPr>
    <w:rPr>
      <w:bCs/>
      <w:sz w:val="18"/>
      <w:szCs w:val="24"/>
      <w:lang w:eastAsia="cs-CZ"/>
    </w:rPr>
  </w:style>
  <w:style w:type="paragraph" w:styleId="Heading5">
    <w:name w:val="heading 5"/>
    <w:basedOn w:val="Heading6"/>
    <w:next w:val="Normal"/>
    <w:link w:val="Heading5Char"/>
    <w:uiPriority w:val="9"/>
    <w:unhideWhenUsed/>
    <w:qFormat/>
    <w:rsid w:val="00605A18"/>
    <w:p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7DA8"/>
    <w:pPr>
      <w:spacing w:after="60"/>
      <w:jc w:val="center"/>
      <w:outlineLvl w:val="5"/>
    </w:pPr>
    <w:rPr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qFormat/>
    <w:locked/>
    <w:rsid w:val="00925275"/>
    <w:rPr>
      <w:rFonts w:ascii="Arial" w:hAnsi="Arial" w:cs="Arial"/>
      <w:b/>
      <w:bCs/>
      <w:kern w:val="2"/>
      <w:sz w:val="24"/>
      <w:szCs w:val="32"/>
      <w:lang w:val="en-GB" w:eastAsia="de-DE"/>
    </w:rPr>
  </w:style>
  <w:style w:type="character" w:customStyle="1" w:styleId="Heading2Char">
    <w:name w:val="Heading 2 Char"/>
    <w:link w:val="Heading2"/>
    <w:uiPriority w:val="99"/>
    <w:qFormat/>
    <w:locked/>
    <w:rsid w:val="00925275"/>
    <w:rPr>
      <w:rFonts w:ascii="Arial" w:hAnsi="Arial" w:cs="Arial"/>
      <w:b/>
      <w:bCs/>
      <w:iCs/>
      <w:sz w:val="22"/>
      <w:szCs w:val="28"/>
      <w:lang w:val="en-GB" w:eastAsia="de-DE"/>
    </w:rPr>
  </w:style>
  <w:style w:type="character" w:customStyle="1" w:styleId="Heading3Char">
    <w:name w:val="Heading 3 Char"/>
    <w:link w:val="Heading3"/>
    <w:uiPriority w:val="99"/>
    <w:qFormat/>
    <w:locked/>
    <w:rsid w:val="002E03DB"/>
    <w:rPr>
      <w:bCs/>
      <w:i/>
      <w:sz w:val="22"/>
      <w:szCs w:val="24"/>
      <w:lang w:val="en-GB"/>
    </w:rPr>
  </w:style>
  <w:style w:type="character" w:customStyle="1" w:styleId="Heading4Char">
    <w:name w:val="Heading 4 Char"/>
    <w:link w:val="Heading4"/>
    <w:uiPriority w:val="99"/>
    <w:qFormat/>
    <w:locked/>
    <w:rsid w:val="00FF732E"/>
    <w:rPr>
      <w:bCs/>
      <w:sz w:val="18"/>
      <w:szCs w:val="24"/>
      <w:lang w:val="en-GB"/>
    </w:rPr>
  </w:style>
  <w:style w:type="character" w:customStyle="1" w:styleId="HTMLAddressChar">
    <w:name w:val="HTML Address Char"/>
    <w:link w:val="HTMLAddress"/>
    <w:uiPriority w:val="99"/>
    <w:semiHidden/>
    <w:qFormat/>
    <w:rsid w:val="005E6DCD"/>
    <w:rPr>
      <w:i/>
      <w:iCs/>
      <w:lang w:val="de-DE" w:eastAsia="de-DE"/>
    </w:rPr>
  </w:style>
  <w:style w:type="character" w:customStyle="1" w:styleId="Heading5Char">
    <w:name w:val="Heading 5 Char"/>
    <w:link w:val="Heading5"/>
    <w:uiPriority w:val="9"/>
    <w:qFormat/>
    <w:rsid w:val="00605A18"/>
    <w:rPr>
      <w:b/>
      <w:bCs/>
      <w:szCs w:val="22"/>
      <w:lang w:val="en-GB" w:eastAsia="de-DE"/>
    </w:rPr>
  </w:style>
  <w:style w:type="character" w:customStyle="1" w:styleId="Heading6Char">
    <w:name w:val="Heading 6 Char"/>
    <w:link w:val="Heading6"/>
    <w:uiPriority w:val="9"/>
    <w:qFormat/>
    <w:rsid w:val="00777DA8"/>
    <w:rPr>
      <w:rFonts w:eastAsia="Times New Roman" w:cs="Times New Roman"/>
      <w:bCs/>
      <w:szCs w:val="22"/>
      <w:lang w:val="de-DE" w:eastAsia="de-DE"/>
    </w:rPr>
  </w:style>
  <w:style w:type="character" w:customStyle="1" w:styleId="HeaderChar">
    <w:name w:val="Header Char"/>
    <w:link w:val="Header"/>
    <w:uiPriority w:val="99"/>
    <w:qFormat/>
    <w:rsid w:val="00D13351"/>
    <w:rPr>
      <w:lang w:val="en-GB" w:eastAsia="de-DE"/>
    </w:rPr>
  </w:style>
  <w:style w:type="character" w:customStyle="1" w:styleId="FooterChar">
    <w:name w:val="Footer Char"/>
    <w:link w:val="Footer"/>
    <w:uiPriority w:val="99"/>
    <w:qFormat/>
    <w:rsid w:val="00D13351"/>
    <w:rPr>
      <w:lang w:val="en-GB" w:eastAsia="de-DE"/>
    </w:rPr>
  </w:style>
  <w:style w:type="character" w:customStyle="1" w:styleId="BalloonTextChar">
    <w:name w:val="Balloon Text Char"/>
    <w:link w:val="BalloonText"/>
    <w:uiPriority w:val="99"/>
    <w:semiHidden/>
    <w:qFormat/>
    <w:rsid w:val="00C64DBE"/>
    <w:rPr>
      <w:rFonts w:ascii="Tahoma" w:hAnsi="Tahoma" w:cs="Tahoma"/>
      <w:sz w:val="16"/>
      <w:szCs w:val="16"/>
      <w:lang w:val="en-GB" w:eastAsia="de-DE"/>
    </w:rPr>
  </w:style>
  <w:style w:type="paragraph" w:customStyle="1" w:styleId="Heading">
    <w:name w:val="Heading"/>
    <w:basedOn w:val="Normal"/>
    <w:next w:val="BodyText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Acknowledgement">
    <w:name w:val="Acknowledgement"/>
    <w:basedOn w:val="Normal"/>
    <w:qFormat/>
    <w:rsid w:val="00777DA8"/>
    <w:rPr>
      <w:i/>
    </w:rPr>
  </w:style>
  <w:style w:type="paragraph" w:styleId="HTMLAddress">
    <w:name w:val="HTML Address"/>
    <w:basedOn w:val="Normal"/>
    <w:link w:val="HTMLAddressChar"/>
    <w:uiPriority w:val="99"/>
    <w:semiHidden/>
    <w:unhideWhenUsed/>
    <w:qFormat/>
    <w:rsid w:val="005E6DCD"/>
    <w:rPr>
      <w:i/>
      <w:iCs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64DBE"/>
    <w:pPr>
      <w:spacing w:after="0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C2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B51A00"/>
    <w:pPr>
      <w:spacing w:after="0"/>
      <w:jc w:val="center"/>
    </w:pPr>
    <w:rPr>
      <w:noProof/>
      <w:lang w:val="de-DE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51A00"/>
    <w:rPr>
      <w:noProof/>
      <w:lang w:val="de-DE" w:eastAsia="de-DE"/>
    </w:rPr>
  </w:style>
  <w:style w:type="paragraph" w:customStyle="1" w:styleId="EndNoteBibliography">
    <w:name w:val="EndNote Bibliography"/>
    <w:basedOn w:val="Normal"/>
    <w:link w:val="EndNoteBibliographyChar"/>
    <w:rsid w:val="00B51A00"/>
    <w:rPr>
      <w:noProof/>
      <w:lang w:val="de-DE"/>
    </w:rPr>
  </w:style>
  <w:style w:type="character" w:customStyle="1" w:styleId="EndNoteBibliographyChar">
    <w:name w:val="EndNote Bibliography Char"/>
    <w:basedOn w:val="DefaultParagraphFont"/>
    <w:link w:val="EndNoteBibliography"/>
    <w:rsid w:val="00B51A00"/>
    <w:rPr>
      <w:noProof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1E0AE-6DDE-4FDB-AD25-D0DA1D2E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545</Words>
  <Characters>3109</Characters>
  <Application>Microsoft Office Word</Application>
  <DocSecurity>0</DocSecurity>
  <Lines>25</Lines>
  <Paragraphs>7</Paragraphs>
  <ScaleCrop>false</ScaleCrop>
  <Company>MFF UK</Company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Materials Structure</dc:title>
  <dc:subject/>
  <dc:creator>Uživatel systému Windows</dc:creator>
  <dc:description/>
  <cp:lastModifiedBy>Ola G. Grendal</cp:lastModifiedBy>
  <cp:revision>2</cp:revision>
  <cp:lastPrinted>2025-05-08T07:30:00Z</cp:lastPrinted>
  <dcterms:created xsi:type="dcterms:W3CDTF">2025-05-08T07:30:00Z</dcterms:created>
  <dcterms:modified xsi:type="dcterms:W3CDTF">2025-05-08T07:30:00Z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