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DB15" w14:textId="77777777" w:rsidR="000B737E" w:rsidRDefault="000B737E">
      <w:pPr>
        <w:pStyle w:val="Heading2"/>
        <w:rPr>
          <w:iCs w:val="0"/>
          <w:kern w:val="2"/>
          <w:sz w:val="24"/>
          <w:szCs w:val="32"/>
        </w:rPr>
      </w:pPr>
      <w:r w:rsidRPr="000B737E">
        <w:rPr>
          <w:iCs w:val="0"/>
          <w:kern w:val="2"/>
          <w:sz w:val="24"/>
          <w:szCs w:val="32"/>
        </w:rPr>
        <w:t xml:space="preserve">Structure and </w:t>
      </w:r>
      <w:r>
        <w:rPr>
          <w:iCs w:val="0"/>
          <w:kern w:val="2"/>
          <w:sz w:val="24"/>
          <w:szCs w:val="32"/>
        </w:rPr>
        <w:t>c</w:t>
      </w:r>
      <w:r w:rsidRPr="000B737E">
        <w:rPr>
          <w:iCs w:val="0"/>
          <w:kern w:val="2"/>
          <w:sz w:val="24"/>
          <w:szCs w:val="32"/>
        </w:rPr>
        <w:t xml:space="preserve">oordination </w:t>
      </w:r>
      <w:r>
        <w:rPr>
          <w:iCs w:val="0"/>
          <w:kern w:val="2"/>
          <w:sz w:val="24"/>
          <w:szCs w:val="32"/>
        </w:rPr>
        <w:t>c</w:t>
      </w:r>
      <w:r w:rsidRPr="000B737E">
        <w:rPr>
          <w:iCs w:val="0"/>
          <w:kern w:val="2"/>
          <w:sz w:val="24"/>
          <w:szCs w:val="32"/>
        </w:rPr>
        <w:t xml:space="preserve">hemistry of </w:t>
      </w:r>
      <w:r>
        <w:rPr>
          <w:iCs w:val="0"/>
          <w:kern w:val="2"/>
          <w:sz w:val="24"/>
          <w:szCs w:val="32"/>
        </w:rPr>
        <w:t>s</w:t>
      </w:r>
      <w:r w:rsidRPr="000B737E">
        <w:rPr>
          <w:iCs w:val="0"/>
          <w:kern w:val="2"/>
          <w:sz w:val="24"/>
          <w:szCs w:val="32"/>
        </w:rPr>
        <w:t xml:space="preserve">ome </w:t>
      </w:r>
      <w:proofErr w:type="spellStart"/>
      <w:r>
        <w:rPr>
          <w:iCs w:val="0"/>
          <w:kern w:val="2"/>
          <w:sz w:val="24"/>
          <w:szCs w:val="32"/>
        </w:rPr>
        <w:t>a</w:t>
      </w:r>
      <w:r w:rsidRPr="000B737E">
        <w:rPr>
          <w:iCs w:val="0"/>
          <w:kern w:val="2"/>
          <w:sz w:val="24"/>
          <w:szCs w:val="32"/>
        </w:rPr>
        <w:t>minopyrazoles</w:t>
      </w:r>
      <w:proofErr w:type="spellEnd"/>
      <w:r w:rsidRPr="000B737E">
        <w:rPr>
          <w:iCs w:val="0"/>
          <w:kern w:val="2"/>
          <w:sz w:val="24"/>
          <w:szCs w:val="32"/>
        </w:rPr>
        <w:t>, 1,3-</w:t>
      </w:r>
      <w:r>
        <w:rPr>
          <w:iCs w:val="0"/>
          <w:kern w:val="2"/>
          <w:sz w:val="24"/>
          <w:szCs w:val="32"/>
        </w:rPr>
        <w:t>d</w:t>
      </w:r>
      <w:r w:rsidRPr="000B737E">
        <w:rPr>
          <w:iCs w:val="0"/>
          <w:kern w:val="2"/>
          <w:sz w:val="24"/>
          <w:szCs w:val="32"/>
        </w:rPr>
        <w:t xml:space="preserve">iazocanes, and </w:t>
      </w:r>
      <w:r>
        <w:rPr>
          <w:iCs w:val="0"/>
          <w:kern w:val="2"/>
          <w:sz w:val="24"/>
          <w:szCs w:val="32"/>
        </w:rPr>
        <w:t>f</w:t>
      </w:r>
      <w:r w:rsidRPr="000B737E">
        <w:rPr>
          <w:iCs w:val="0"/>
          <w:kern w:val="2"/>
          <w:sz w:val="24"/>
          <w:szCs w:val="32"/>
        </w:rPr>
        <w:t xml:space="preserve">used </w:t>
      </w:r>
      <w:proofErr w:type="spellStart"/>
      <w:r>
        <w:rPr>
          <w:iCs w:val="0"/>
          <w:kern w:val="2"/>
          <w:sz w:val="24"/>
          <w:szCs w:val="32"/>
        </w:rPr>
        <w:t>d</w:t>
      </w:r>
      <w:r w:rsidRPr="000B737E">
        <w:rPr>
          <w:iCs w:val="0"/>
          <w:kern w:val="2"/>
          <w:sz w:val="24"/>
          <w:szCs w:val="32"/>
        </w:rPr>
        <w:t>ipyrazoloheterocycles</w:t>
      </w:r>
      <w:proofErr w:type="spellEnd"/>
      <w:r w:rsidRPr="000B737E">
        <w:rPr>
          <w:iCs w:val="0"/>
          <w:kern w:val="2"/>
          <w:sz w:val="24"/>
          <w:szCs w:val="32"/>
        </w:rPr>
        <w:t xml:space="preserve"> </w:t>
      </w:r>
    </w:p>
    <w:p w14:paraId="07D275A8" w14:textId="48269684" w:rsidR="009425C6" w:rsidRPr="009425C6" w:rsidRDefault="009425C6" w:rsidP="009425C6">
      <w:pPr>
        <w:pStyle w:val="Heading3"/>
        <w:rPr>
          <w:rFonts w:ascii="Arial" w:hAnsi="Arial" w:cs="Arial"/>
          <w:b/>
          <w:i w:val="0"/>
          <w:sz w:val="22"/>
          <w:szCs w:val="22"/>
          <w:lang w:val="en-AU"/>
        </w:rPr>
      </w:pPr>
      <w:r w:rsidRPr="009425C6">
        <w:rPr>
          <w:rFonts w:ascii="Arial" w:hAnsi="Arial" w:cs="Arial"/>
          <w:b/>
          <w:i w:val="0"/>
          <w:sz w:val="22"/>
          <w:szCs w:val="22"/>
          <w:u w:val="single"/>
          <w:lang w:val="en-AU"/>
        </w:rPr>
        <w:t>L</w:t>
      </w:r>
      <w:r>
        <w:rPr>
          <w:rFonts w:ascii="Arial" w:hAnsi="Arial" w:cs="Arial"/>
          <w:b/>
          <w:i w:val="0"/>
          <w:sz w:val="22"/>
          <w:szCs w:val="22"/>
          <w:u w:val="single"/>
          <w:lang w:val="en-AU"/>
        </w:rPr>
        <w:t>.</w:t>
      </w:r>
      <w:r w:rsidRPr="009425C6">
        <w:rPr>
          <w:rFonts w:ascii="Arial" w:hAnsi="Arial" w:cs="Arial"/>
          <w:b/>
          <w:i w:val="0"/>
          <w:sz w:val="22"/>
          <w:szCs w:val="22"/>
          <w:u w:val="single"/>
          <w:lang w:val="en-AU"/>
        </w:rPr>
        <w:t>N. Dawe</w:t>
      </w:r>
      <w:r w:rsidRPr="009425C6">
        <w:rPr>
          <w:rFonts w:ascii="Arial" w:hAnsi="Arial" w:cs="Arial"/>
          <w:b/>
          <w:i w:val="0"/>
          <w:sz w:val="22"/>
          <w:szCs w:val="22"/>
          <w:lang w:val="en-AU"/>
        </w:rPr>
        <w:t>,</w:t>
      </w:r>
      <w:r w:rsidRPr="009425C6">
        <w:rPr>
          <w:rFonts w:ascii="Arial" w:hAnsi="Arial" w:cs="Arial"/>
          <w:b/>
          <w:i w:val="0"/>
          <w:sz w:val="22"/>
          <w:szCs w:val="22"/>
          <w:vertAlign w:val="superscript"/>
          <w:lang w:val="en-AU"/>
        </w:rPr>
        <w:t xml:space="preserve"> 1</w:t>
      </w:r>
      <w:r w:rsidRPr="009425C6">
        <w:rPr>
          <w:rFonts w:ascii="Arial" w:hAnsi="Arial" w:cs="Arial"/>
          <w:b/>
          <w:i w:val="0"/>
          <w:sz w:val="22"/>
          <w:szCs w:val="22"/>
          <w:lang w:val="en-AU"/>
        </w:rPr>
        <w:t xml:space="preserve"> D</w:t>
      </w:r>
      <w:r w:rsidR="00A527BE">
        <w:rPr>
          <w:rFonts w:ascii="Arial" w:hAnsi="Arial" w:cs="Arial"/>
          <w:b/>
          <w:i w:val="0"/>
          <w:sz w:val="22"/>
          <w:szCs w:val="22"/>
          <w:lang w:val="en-AU"/>
        </w:rPr>
        <w:t>.</w:t>
      </w:r>
      <w:r w:rsidRPr="009425C6">
        <w:rPr>
          <w:rFonts w:ascii="Arial" w:hAnsi="Arial" w:cs="Arial"/>
          <w:b/>
          <w:i w:val="0"/>
          <w:sz w:val="22"/>
          <w:szCs w:val="22"/>
          <w:lang w:val="en-AU"/>
        </w:rPr>
        <w:t xml:space="preserve"> Joekar,</w:t>
      </w:r>
      <w:r w:rsidRPr="009425C6">
        <w:rPr>
          <w:rFonts w:ascii="Arial" w:hAnsi="Arial" w:cs="Arial"/>
          <w:b/>
          <w:i w:val="0"/>
          <w:sz w:val="22"/>
          <w:szCs w:val="22"/>
          <w:vertAlign w:val="superscript"/>
          <w:lang w:val="en-AU"/>
        </w:rPr>
        <w:t>1</w:t>
      </w:r>
      <w:r w:rsidRPr="009425C6">
        <w:rPr>
          <w:rFonts w:ascii="Arial" w:hAnsi="Arial" w:cs="Arial"/>
          <w:b/>
          <w:i w:val="0"/>
          <w:sz w:val="22"/>
          <w:szCs w:val="22"/>
          <w:lang w:val="en-AU"/>
        </w:rPr>
        <w:t xml:space="preserve"> K</w:t>
      </w:r>
      <w:r w:rsidR="00A527BE">
        <w:rPr>
          <w:rFonts w:ascii="Arial" w:hAnsi="Arial" w:cs="Arial"/>
          <w:b/>
          <w:i w:val="0"/>
          <w:sz w:val="22"/>
          <w:szCs w:val="22"/>
          <w:lang w:val="en-AU"/>
        </w:rPr>
        <w:t>.</w:t>
      </w:r>
      <w:r w:rsidRPr="009425C6">
        <w:rPr>
          <w:rFonts w:ascii="Arial" w:hAnsi="Arial" w:cs="Arial"/>
          <w:b/>
          <w:i w:val="0"/>
          <w:sz w:val="22"/>
          <w:szCs w:val="22"/>
          <w:lang w:val="en-AU"/>
        </w:rPr>
        <w:t xml:space="preserve"> Brown,</w:t>
      </w:r>
      <w:r w:rsidRPr="009425C6">
        <w:rPr>
          <w:rFonts w:ascii="Arial" w:hAnsi="Arial" w:cs="Arial"/>
          <w:b/>
          <w:i w:val="0"/>
          <w:sz w:val="22"/>
          <w:szCs w:val="22"/>
          <w:vertAlign w:val="superscript"/>
          <w:lang w:val="en-AU"/>
        </w:rPr>
        <w:t>1</w:t>
      </w:r>
      <w:r w:rsidRPr="009425C6">
        <w:rPr>
          <w:rFonts w:ascii="Arial" w:hAnsi="Arial" w:cs="Arial"/>
          <w:b/>
          <w:i w:val="0"/>
          <w:sz w:val="22"/>
          <w:szCs w:val="22"/>
          <w:lang w:val="en-AU"/>
        </w:rPr>
        <w:t xml:space="preserve"> L</w:t>
      </w:r>
      <w:r w:rsidR="00A527BE">
        <w:rPr>
          <w:rFonts w:ascii="Arial" w:hAnsi="Arial" w:cs="Arial"/>
          <w:b/>
          <w:i w:val="0"/>
          <w:sz w:val="22"/>
          <w:szCs w:val="22"/>
          <w:lang w:val="en-AU"/>
        </w:rPr>
        <w:t>.</w:t>
      </w:r>
      <w:r w:rsidRPr="009425C6">
        <w:rPr>
          <w:rFonts w:ascii="Arial" w:hAnsi="Arial" w:cs="Arial"/>
          <w:b/>
          <w:i w:val="0"/>
          <w:sz w:val="22"/>
          <w:szCs w:val="22"/>
          <w:lang w:val="en-AU"/>
        </w:rPr>
        <w:t xml:space="preserve"> Lobulo,</w:t>
      </w:r>
      <w:r w:rsidRPr="009425C6">
        <w:rPr>
          <w:rFonts w:ascii="Arial" w:hAnsi="Arial" w:cs="Arial"/>
          <w:b/>
          <w:i w:val="0"/>
          <w:sz w:val="22"/>
          <w:szCs w:val="22"/>
          <w:vertAlign w:val="superscript"/>
          <w:lang w:val="en-AU"/>
        </w:rPr>
        <w:t>1</w:t>
      </w:r>
      <w:r w:rsidRPr="009425C6">
        <w:rPr>
          <w:rFonts w:ascii="Arial" w:hAnsi="Arial" w:cs="Arial"/>
          <w:b/>
          <w:i w:val="0"/>
          <w:sz w:val="22"/>
          <w:szCs w:val="22"/>
          <w:lang w:val="en-AU"/>
        </w:rPr>
        <w:t xml:space="preserve"> D</w:t>
      </w:r>
      <w:r w:rsidR="00A527BE">
        <w:rPr>
          <w:rFonts w:ascii="Arial" w:hAnsi="Arial" w:cs="Arial"/>
          <w:b/>
          <w:i w:val="0"/>
          <w:sz w:val="22"/>
          <w:szCs w:val="22"/>
          <w:lang w:val="en-AU"/>
        </w:rPr>
        <w:t>.</w:t>
      </w:r>
      <w:r w:rsidRPr="009425C6">
        <w:rPr>
          <w:rFonts w:ascii="Arial" w:hAnsi="Arial" w:cs="Arial"/>
          <w:b/>
          <w:i w:val="0"/>
          <w:sz w:val="22"/>
          <w:szCs w:val="22"/>
          <w:lang w:val="en-AU"/>
        </w:rPr>
        <w:t xml:space="preserve"> Graham,</w:t>
      </w:r>
      <w:r w:rsidRPr="009425C6">
        <w:rPr>
          <w:rFonts w:ascii="Arial" w:hAnsi="Arial" w:cs="Arial"/>
          <w:b/>
          <w:i w:val="0"/>
          <w:sz w:val="22"/>
          <w:szCs w:val="22"/>
          <w:vertAlign w:val="superscript"/>
          <w:lang w:val="en-AU"/>
        </w:rPr>
        <w:t>1</w:t>
      </w:r>
      <w:r w:rsidRPr="009425C6">
        <w:rPr>
          <w:rFonts w:ascii="Arial" w:hAnsi="Arial" w:cs="Arial"/>
          <w:b/>
          <w:i w:val="0"/>
          <w:sz w:val="22"/>
          <w:szCs w:val="22"/>
          <w:lang w:val="en-AU"/>
        </w:rPr>
        <w:t xml:space="preserve"> K</w:t>
      </w:r>
      <w:r w:rsidR="00A527BE">
        <w:rPr>
          <w:rFonts w:ascii="Arial" w:hAnsi="Arial" w:cs="Arial"/>
          <w:b/>
          <w:i w:val="0"/>
          <w:sz w:val="22"/>
          <w:szCs w:val="22"/>
          <w:lang w:val="en-AU"/>
        </w:rPr>
        <w:t>.</w:t>
      </w:r>
      <w:r w:rsidRPr="009425C6">
        <w:rPr>
          <w:rFonts w:ascii="Arial" w:hAnsi="Arial" w:cs="Arial"/>
          <w:b/>
          <w:i w:val="0"/>
          <w:sz w:val="22"/>
          <w:szCs w:val="22"/>
          <w:lang w:val="en-AU"/>
        </w:rPr>
        <w:t xml:space="preserve"> Stephens,</w:t>
      </w:r>
      <w:r w:rsidRPr="009425C6">
        <w:rPr>
          <w:rFonts w:ascii="Arial" w:hAnsi="Arial" w:cs="Arial"/>
          <w:b/>
          <w:i w:val="0"/>
          <w:sz w:val="22"/>
          <w:szCs w:val="22"/>
          <w:vertAlign w:val="superscript"/>
          <w:lang w:val="en-AU"/>
        </w:rPr>
        <w:t>1</w:t>
      </w:r>
      <w:r w:rsidRPr="009425C6">
        <w:rPr>
          <w:rFonts w:ascii="Arial" w:hAnsi="Arial" w:cs="Arial"/>
          <w:b/>
          <w:i w:val="0"/>
          <w:sz w:val="22"/>
          <w:szCs w:val="22"/>
          <w:lang w:val="en-AU"/>
        </w:rPr>
        <w:t xml:space="preserve"> </w:t>
      </w:r>
    </w:p>
    <w:p w14:paraId="2FF87477" w14:textId="09BF5E5C" w:rsidR="009425C6" w:rsidRPr="009425C6" w:rsidRDefault="009425C6" w:rsidP="009425C6">
      <w:pPr>
        <w:pStyle w:val="Heading3"/>
        <w:rPr>
          <w:rFonts w:ascii="Arial" w:hAnsi="Arial" w:cs="Arial"/>
          <w:b/>
          <w:i w:val="0"/>
          <w:sz w:val="22"/>
          <w:szCs w:val="22"/>
          <w:lang w:val="en-AU"/>
        </w:rPr>
      </w:pPr>
      <w:r w:rsidRPr="009425C6">
        <w:rPr>
          <w:rFonts w:ascii="Arial" w:hAnsi="Arial" w:cs="Arial"/>
          <w:b/>
          <w:i w:val="0"/>
          <w:sz w:val="22"/>
          <w:szCs w:val="22"/>
          <w:lang w:val="en-AU"/>
        </w:rPr>
        <w:t>P</w:t>
      </w:r>
      <w:r w:rsidR="00A527BE">
        <w:rPr>
          <w:rFonts w:ascii="Arial" w:hAnsi="Arial" w:cs="Arial"/>
          <w:b/>
          <w:i w:val="0"/>
          <w:sz w:val="22"/>
          <w:szCs w:val="22"/>
          <w:lang w:val="en-AU"/>
        </w:rPr>
        <w:t>.</w:t>
      </w:r>
      <w:r w:rsidRPr="009425C6">
        <w:rPr>
          <w:rFonts w:ascii="Arial" w:hAnsi="Arial" w:cs="Arial"/>
          <w:b/>
          <w:i w:val="0"/>
          <w:sz w:val="22"/>
          <w:szCs w:val="22"/>
          <w:lang w:val="en-AU"/>
        </w:rPr>
        <w:t>D. Boyle,</w:t>
      </w:r>
      <w:r w:rsidRPr="009425C6">
        <w:rPr>
          <w:rFonts w:ascii="Arial" w:hAnsi="Arial" w:cs="Arial"/>
          <w:b/>
          <w:i w:val="0"/>
          <w:sz w:val="22"/>
          <w:szCs w:val="22"/>
          <w:vertAlign w:val="superscript"/>
          <w:lang w:val="en-AU"/>
        </w:rPr>
        <w:t xml:space="preserve"> 2</w:t>
      </w:r>
      <w:r w:rsidRPr="009425C6">
        <w:rPr>
          <w:rFonts w:ascii="Arial" w:hAnsi="Arial" w:cs="Arial"/>
          <w:b/>
          <w:i w:val="0"/>
          <w:sz w:val="22"/>
          <w:szCs w:val="22"/>
          <w:lang w:val="en-AU"/>
        </w:rPr>
        <w:t xml:space="preserve"> and K</w:t>
      </w:r>
      <w:r w:rsidR="00A527BE">
        <w:rPr>
          <w:rFonts w:ascii="Arial" w:hAnsi="Arial" w:cs="Arial"/>
          <w:b/>
          <w:i w:val="0"/>
          <w:sz w:val="22"/>
          <w:szCs w:val="22"/>
          <w:lang w:val="en-AU"/>
        </w:rPr>
        <w:t>.</w:t>
      </w:r>
      <w:r w:rsidRPr="009425C6">
        <w:rPr>
          <w:rFonts w:ascii="Arial" w:hAnsi="Arial" w:cs="Arial"/>
          <w:b/>
          <w:i w:val="0"/>
          <w:sz w:val="22"/>
          <w:szCs w:val="22"/>
          <w:lang w:val="en-AU"/>
        </w:rPr>
        <w:t xml:space="preserve"> Maly</w:t>
      </w:r>
      <w:r w:rsidRPr="009425C6">
        <w:rPr>
          <w:rFonts w:ascii="Arial" w:hAnsi="Arial" w:cs="Arial"/>
          <w:b/>
          <w:i w:val="0"/>
          <w:sz w:val="22"/>
          <w:szCs w:val="22"/>
          <w:vertAlign w:val="superscript"/>
          <w:lang w:val="en-AU"/>
        </w:rPr>
        <w:t>1</w:t>
      </w:r>
    </w:p>
    <w:p w14:paraId="171C4A8A" w14:textId="1877BE5A" w:rsidR="00180D18" w:rsidRPr="005852F5" w:rsidRDefault="00180D18" w:rsidP="00180D18">
      <w:pPr>
        <w:autoSpaceDE w:val="0"/>
        <w:autoSpaceDN w:val="0"/>
        <w:adjustRightInd w:val="0"/>
        <w:spacing w:after="0" w:line="360" w:lineRule="auto"/>
        <w:jc w:val="center"/>
        <w:rPr>
          <w:i/>
          <w:iCs/>
        </w:rPr>
      </w:pPr>
      <w:r w:rsidRPr="00180D18">
        <w:rPr>
          <w:i/>
          <w:iCs/>
          <w:vertAlign w:val="superscript"/>
        </w:rPr>
        <w:t>1</w:t>
      </w:r>
      <w:r w:rsidRPr="005852F5">
        <w:rPr>
          <w:i/>
          <w:iCs/>
        </w:rPr>
        <w:t xml:space="preserve">Department of Chemistry and Biochemistry, Wilfrid Laurier University, Waterloo, ON, Canada, </w:t>
      </w:r>
      <w:r w:rsidRPr="007327F8">
        <w:rPr>
          <w:i/>
          <w:iCs/>
          <w:vertAlign w:val="superscript"/>
        </w:rPr>
        <w:t>2</w:t>
      </w:r>
      <w:r w:rsidRPr="005852F5">
        <w:rPr>
          <w:i/>
          <w:iCs/>
        </w:rPr>
        <w:t xml:space="preserve">Western University, Department of Chemistry, London, ON, Canada </w:t>
      </w:r>
    </w:p>
    <w:p w14:paraId="57328C01" w14:textId="5233DF1C" w:rsidR="0030074F" w:rsidRDefault="00143A37">
      <w:pPr>
        <w:pStyle w:val="Heading3"/>
        <w:rPr>
          <w:sz w:val="18"/>
          <w:szCs w:val="18"/>
        </w:rPr>
      </w:pPr>
      <w:r>
        <w:t>ldawe</w:t>
      </w:r>
      <w:r w:rsidR="00000000">
        <w:t>@</w:t>
      </w:r>
      <w:r>
        <w:t>wlu.ca</w:t>
      </w:r>
      <w:r w:rsidR="00000000">
        <w:rPr>
          <w:lang w:eastAsia="de-DE"/>
        </w:rPr>
        <w:br/>
      </w:r>
    </w:p>
    <w:p w14:paraId="2D7B5C87" w14:textId="77777777" w:rsidR="006413FB" w:rsidRPr="006413FB" w:rsidRDefault="006413FB" w:rsidP="006413FB">
      <w:pPr>
        <w:suppressAutoHyphens w:val="0"/>
        <w:autoSpaceDE w:val="0"/>
        <w:autoSpaceDN w:val="0"/>
        <w:adjustRightInd w:val="0"/>
        <w:spacing w:after="0"/>
        <w:jc w:val="left"/>
        <w:rPr>
          <w:rFonts w:eastAsia="Calibri"/>
          <w:lang w:val="en-CA" w:eastAsia="en-US"/>
        </w:rPr>
      </w:pPr>
      <w:r w:rsidRPr="006413FB">
        <w:rPr>
          <w:rFonts w:eastAsia="Calibri"/>
          <w:lang w:val="en-CA" w:eastAsia="en-US"/>
        </w:rPr>
        <w:t>We have previously reported ligand systems that simultaneously incorporate three types of molecular affinity: (</w:t>
      </w:r>
      <w:proofErr w:type="spellStart"/>
      <w:r w:rsidRPr="006413FB">
        <w:rPr>
          <w:rFonts w:eastAsia="Calibri"/>
          <w:lang w:val="en-CA" w:eastAsia="en-US"/>
        </w:rPr>
        <w:t>i</w:t>
      </w:r>
      <w:proofErr w:type="spellEnd"/>
      <w:r w:rsidRPr="006413FB">
        <w:rPr>
          <w:rFonts w:eastAsia="Calibri"/>
          <w:lang w:val="en-CA" w:eastAsia="en-US"/>
        </w:rPr>
        <w:t xml:space="preserve">) coordination of Lewis acids; (ii) intermolecular interactions with anions; and (iii) additional functional modalities [1]. </w:t>
      </w:r>
      <w:r w:rsidRPr="006413FB">
        <w:rPr>
          <w:rFonts w:eastAsia="Calibri"/>
          <w:lang w:val="en-AU" w:eastAsia="en-US"/>
        </w:rPr>
        <w:t>We have targeted this design strategy to tune the functional groups for interactions with specific cations and anions, for explorations into the directionality of weak intermolecular forces, which may be further complicated by the presence of stronger, competing forces.</w:t>
      </w:r>
    </w:p>
    <w:p w14:paraId="7099750A" w14:textId="77777777" w:rsidR="006413FB" w:rsidRPr="006413FB" w:rsidRDefault="006413FB" w:rsidP="006413FB">
      <w:pPr>
        <w:suppressAutoHyphens w:val="0"/>
        <w:autoSpaceDE w:val="0"/>
        <w:autoSpaceDN w:val="0"/>
        <w:adjustRightInd w:val="0"/>
        <w:spacing w:after="0"/>
        <w:jc w:val="left"/>
        <w:rPr>
          <w:rFonts w:eastAsia="Calibri"/>
          <w:lang w:val="en-CA" w:eastAsia="en-US"/>
        </w:rPr>
      </w:pPr>
    </w:p>
    <w:p w14:paraId="4A2C0435" w14:textId="50B1DD69" w:rsidR="006413FB" w:rsidRPr="006413FB" w:rsidRDefault="006413FB" w:rsidP="006413FB">
      <w:pPr>
        <w:suppressAutoHyphens w:val="0"/>
        <w:autoSpaceDE w:val="0"/>
        <w:autoSpaceDN w:val="0"/>
        <w:adjustRightInd w:val="0"/>
        <w:spacing w:after="0"/>
        <w:jc w:val="left"/>
        <w:rPr>
          <w:rFonts w:eastAsia="Calibri"/>
          <w:lang w:val="en-CA" w:eastAsia="en-US"/>
        </w:rPr>
      </w:pPr>
      <w:r w:rsidRPr="006413FB">
        <w:rPr>
          <w:rFonts w:eastAsia="Calibri"/>
          <w:lang w:val="en-CA" w:eastAsia="en-US"/>
        </w:rPr>
        <w:t xml:space="preserve">In the case of our </w:t>
      </w:r>
      <w:proofErr w:type="spellStart"/>
      <w:r w:rsidRPr="006413FB">
        <w:rPr>
          <w:rFonts w:eastAsia="Calibri"/>
          <w:lang w:val="en-CA" w:eastAsia="en-US"/>
        </w:rPr>
        <w:t>aminopyrazole</w:t>
      </w:r>
      <w:proofErr w:type="spellEnd"/>
      <w:r w:rsidRPr="006413FB">
        <w:rPr>
          <w:rFonts w:eastAsia="Calibri"/>
          <w:lang w:val="en-CA" w:eastAsia="en-US"/>
        </w:rPr>
        <w:t xml:space="preserve"> systems</w:t>
      </w:r>
      <w:r w:rsidR="00C57D0E">
        <w:rPr>
          <w:rFonts w:eastAsia="Calibri"/>
          <w:lang w:val="en-CA" w:eastAsia="en-US"/>
        </w:rPr>
        <w:t xml:space="preserve"> (Fig 1)</w:t>
      </w:r>
      <w:r w:rsidRPr="006413FB">
        <w:rPr>
          <w:rFonts w:eastAsia="Calibri"/>
          <w:lang w:val="en-CA" w:eastAsia="en-US"/>
        </w:rPr>
        <w:t xml:space="preserve">, we have previously observed </w:t>
      </w:r>
      <w:r w:rsidRPr="006413FB">
        <w:rPr>
          <w:rFonts w:eastAsia="Calibri"/>
          <w:i/>
          <w:iCs/>
          <w:lang w:val="en-CA" w:eastAsia="en-US"/>
        </w:rPr>
        <w:t>via</w:t>
      </w:r>
      <w:r w:rsidRPr="006413FB">
        <w:rPr>
          <w:rFonts w:eastAsia="Calibri"/>
          <w:lang w:val="en-CA" w:eastAsia="en-US"/>
        </w:rPr>
        <w:t xml:space="preserve"> polarized optical microscopy that all exhibit supercooling of between 34 and 100 </w:t>
      </w:r>
      <w:proofErr w:type="spellStart"/>
      <w:r w:rsidRPr="006413FB">
        <w:rPr>
          <w:rFonts w:eastAsia="Calibri"/>
          <w:vertAlign w:val="superscript"/>
          <w:lang w:val="en-CA" w:eastAsia="en-US"/>
        </w:rPr>
        <w:t>o</w:t>
      </w:r>
      <w:r w:rsidRPr="006413FB">
        <w:rPr>
          <w:rFonts w:eastAsia="Calibri"/>
          <w:lang w:val="en-CA" w:eastAsia="en-US"/>
        </w:rPr>
        <w:t>C</w:t>
      </w:r>
      <w:proofErr w:type="spellEnd"/>
      <w:r w:rsidRPr="006413FB">
        <w:rPr>
          <w:rFonts w:eastAsia="Calibri"/>
          <w:lang w:val="en-CA" w:eastAsia="en-US"/>
        </w:rPr>
        <w:t>, and upon coordination to ZnCl</w:t>
      </w:r>
      <w:r w:rsidRPr="006413FB">
        <w:rPr>
          <w:rFonts w:eastAsia="Calibri"/>
          <w:vertAlign w:val="subscript"/>
          <w:lang w:val="en-CA" w:eastAsia="en-US"/>
        </w:rPr>
        <w:t>2</w:t>
      </w:r>
      <w:r w:rsidRPr="006413FB">
        <w:rPr>
          <w:rFonts w:eastAsia="Calibri"/>
          <w:lang w:val="en-CA" w:eastAsia="en-US"/>
        </w:rPr>
        <w:t xml:space="preserve"> and ZnBr</w:t>
      </w:r>
      <w:r w:rsidRPr="006413FB">
        <w:rPr>
          <w:rFonts w:eastAsia="Calibri"/>
          <w:vertAlign w:val="subscript"/>
          <w:lang w:val="en-CA" w:eastAsia="en-US"/>
        </w:rPr>
        <w:t>2</w:t>
      </w:r>
      <w:r w:rsidRPr="006413FB">
        <w:rPr>
          <w:rFonts w:eastAsia="Calibri"/>
          <w:lang w:val="en-CA" w:eastAsia="en-US"/>
        </w:rPr>
        <w:t xml:space="preserve">, we have observed bright, solid-state fluorescence. Solid-state fluorescence has also now been observed for ligand systems where the </w:t>
      </w:r>
      <w:proofErr w:type="gramStart"/>
      <w:r w:rsidRPr="006413FB">
        <w:rPr>
          <w:rFonts w:eastAsia="Calibri"/>
          <w:lang w:val="en-CA" w:eastAsia="en-US"/>
        </w:rPr>
        <w:t>amino-group</w:t>
      </w:r>
      <w:proofErr w:type="gramEnd"/>
      <w:r w:rsidRPr="006413FB">
        <w:rPr>
          <w:rFonts w:eastAsia="Calibri"/>
          <w:lang w:val="en-CA" w:eastAsia="en-US"/>
        </w:rPr>
        <w:t xml:space="preserve"> has been transformed to both urea and thiourea functionalities. This fluorescence is quenched upon transition metal cation complexation. Fluorescence, ligand and complex structures, and Hirshfeld surface results have been analyzed and related to the extent of </w:t>
      </w:r>
      <w:r w:rsidRPr="006413FB">
        <w:rPr>
          <w:rFonts w:ascii="Symbol" w:eastAsia="Calibri" w:hAnsi="Symbol"/>
          <w:lang w:val="en-CA" w:eastAsia="en-US"/>
        </w:rPr>
        <w:t>p</w:t>
      </w:r>
      <w:r w:rsidRPr="006413FB">
        <w:rPr>
          <w:rFonts w:eastAsia="Calibri"/>
          <w:lang w:val="en-CA" w:eastAsia="en-US"/>
        </w:rPr>
        <w:t>-interactions in the solid state. We have recently undertaken theoretical studies to complement these experimental results.</w:t>
      </w:r>
    </w:p>
    <w:p w14:paraId="15AA3D99" w14:textId="77777777" w:rsidR="006413FB" w:rsidRPr="006413FB" w:rsidRDefault="006413FB" w:rsidP="006413FB">
      <w:pPr>
        <w:suppressAutoHyphens w:val="0"/>
        <w:autoSpaceDE w:val="0"/>
        <w:autoSpaceDN w:val="0"/>
        <w:adjustRightInd w:val="0"/>
        <w:spacing w:after="0"/>
        <w:jc w:val="left"/>
        <w:rPr>
          <w:rFonts w:eastAsia="Calibri"/>
          <w:lang w:val="en-CA" w:eastAsia="en-US"/>
        </w:rPr>
      </w:pPr>
    </w:p>
    <w:p w14:paraId="3F09CFFA" w14:textId="672A3B1A" w:rsidR="006413FB" w:rsidRPr="006413FB" w:rsidRDefault="006413FB" w:rsidP="006413FB">
      <w:pPr>
        <w:suppressAutoHyphens w:val="0"/>
        <w:autoSpaceDE w:val="0"/>
        <w:autoSpaceDN w:val="0"/>
        <w:adjustRightInd w:val="0"/>
        <w:spacing w:after="0"/>
        <w:jc w:val="left"/>
        <w:rPr>
          <w:rFonts w:eastAsia="Calibri"/>
          <w:lang w:val="en-CA" w:eastAsia="en-US"/>
        </w:rPr>
      </w:pPr>
      <w:r w:rsidRPr="006413FB">
        <w:rPr>
          <w:rFonts w:eastAsia="Calibri"/>
          <w:lang w:val="en-CA" w:eastAsia="en-US"/>
        </w:rPr>
        <w:t xml:space="preserve">Further, with an eye-towards advancing the incorporation of additional functionality, we have undertaken Schiff base reactions between our </w:t>
      </w:r>
      <w:proofErr w:type="spellStart"/>
      <w:r w:rsidRPr="006413FB">
        <w:rPr>
          <w:rFonts w:eastAsia="Calibri"/>
          <w:lang w:val="en-CA" w:eastAsia="en-US"/>
        </w:rPr>
        <w:t>aminopyrazole</w:t>
      </w:r>
      <w:proofErr w:type="spellEnd"/>
      <w:r w:rsidRPr="006413FB">
        <w:rPr>
          <w:rFonts w:eastAsia="Calibri"/>
          <w:lang w:val="en-CA" w:eastAsia="en-US"/>
        </w:rPr>
        <w:t xml:space="preserve"> systems and multiple aldehydes. While not unprecedented [2], these reactions yielded a plethora of unexpected 1,3-diazocanes and fused </w:t>
      </w:r>
      <w:proofErr w:type="spellStart"/>
      <w:r w:rsidRPr="006413FB">
        <w:rPr>
          <w:rFonts w:eastAsia="Calibri"/>
          <w:lang w:val="en-CA" w:eastAsia="en-US"/>
        </w:rPr>
        <w:t>dipyrazoloheterocycles</w:t>
      </w:r>
      <w:proofErr w:type="spellEnd"/>
      <w:r w:rsidR="00C57D0E">
        <w:rPr>
          <w:rFonts w:eastAsia="Calibri"/>
          <w:lang w:val="en-CA" w:eastAsia="en-US"/>
        </w:rPr>
        <w:t xml:space="preserve"> (Fig. 1)</w:t>
      </w:r>
      <w:r w:rsidRPr="006413FB">
        <w:rPr>
          <w:rFonts w:eastAsia="Calibri"/>
          <w:lang w:val="en-CA" w:eastAsia="en-US"/>
        </w:rPr>
        <w:t>. The coordination chemistry of these systems with first row transition metal cations has been explored. The structural characterization and spectroscopic properties of these ligands and their complexes will be presented.</w:t>
      </w:r>
    </w:p>
    <w:p w14:paraId="57328C06" w14:textId="4A2E73EF" w:rsidR="0030074F" w:rsidRDefault="00000000">
      <w:pPr>
        <w:jc w:val="center"/>
      </w:pPr>
      <w:r>
        <w:pict w14:anchorId="57328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221ED8" w:rsidRPr="00221ED8">
        <w:rPr>
          <w:noProof/>
          <w:lang w:val="en-CA"/>
        </w:rPr>
        <w:pict w14:anchorId="0CCCEE45">
          <v:shape id="Picture 2" o:spid="_x0000_i1027" type="#_x0000_t75" alt="A structure of a molecule&#10;&#10;Description automatically generated" style="width:523.8pt;height:183.6pt;visibility:visible;mso-wrap-style:square">
            <v:imagedata r:id="rId7" o:title="A structure of a molecule&#10;&#10;Description automatically generated"/>
          </v:shape>
        </w:pict>
      </w:r>
    </w:p>
    <w:p w14:paraId="57328C07" w14:textId="241C2993" w:rsidR="0030074F" w:rsidRDefault="00000000">
      <w:pPr>
        <w:pStyle w:val="Heading6"/>
      </w:pPr>
      <w:r>
        <w:rPr>
          <w:b/>
        </w:rPr>
        <w:t>Figure 1</w:t>
      </w:r>
      <w:r>
        <w:t xml:space="preserve">. </w:t>
      </w:r>
      <w:r w:rsidR="00C57D0E">
        <w:t xml:space="preserve">Multifunctional </w:t>
      </w:r>
      <w:proofErr w:type="spellStart"/>
      <w:r w:rsidR="00C57D0E" w:rsidRPr="006413FB">
        <w:rPr>
          <w:rFonts w:eastAsia="Calibri"/>
          <w:lang w:val="en-CA" w:eastAsia="en-US"/>
        </w:rPr>
        <w:t>aminopyrazole</w:t>
      </w:r>
      <w:proofErr w:type="spellEnd"/>
      <w:r w:rsidR="00C57D0E" w:rsidRPr="006413FB">
        <w:rPr>
          <w:rFonts w:eastAsia="Calibri"/>
          <w:lang w:val="en-CA" w:eastAsia="en-US"/>
        </w:rPr>
        <w:t xml:space="preserve"> systems</w:t>
      </w:r>
      <w:r w:rsidR="00C57D0E">
        <w:rPr>
          <w:rFonts w:eastAsia="Calibri"/>
          <w:lang w:val="en-CA" w:eastAsia="en-US"/>
        </w:rPr>
        <w:t xml:space="preserve">, a </w:t>
      </w:r>
      <w:r w:rsidR="00C57D0E" w:rsidRPr="006413FB">
        <w:rPr>
          <w:rFonts w:eastAsia="Calibri"/>
          <w:lang w:val="en-CA" w:eastAsia="en-US"/>
        </w:rPr>
        <w:t>1,3-diazocane</w:t>
      </w:r>
      <w:r w:rsidR="00C57D0E">
        <w:rPr>
          <w:rFonts w:eastAsia="Calibri"/>
          <w:lang w:val="en-CA" w:eastAsia="en-US"/>
        </w:rPr>
        <w:t xml:space="preserve"> </w:t>
      </w:r>
      <w:r w:rsidR="00C57D0E" w:rsidRPr="006413FB">
        <w:rPr>
          <w:rFonts w:eastAsia="Calibri"/>
          <w:lang w:val="en-CA" w:eastAsia="en-US"/>
        </w:rPr>
        <w:t xml:space="preserve">and </w:t>
      </w:r>
      <w:r w:rsidR="00C57D0E">
        <w:rPr>
          <w:rFonts w:eastAsia="Calibri"/>
          <w:lang w:val="en-CA" w:eastAsia="en-US"/>
        </w:rPr>
        <w:t xml:space="preserve">a </w:t>
      </w:r>
      <w:r w:rsidR="00C57D0E" w:rsidRPr="006413FB">
        <w:rPr>
          <w:rFonts w:eastAsia="Calibri"/>
          <w:lang w:val="en-CA" w:eastAsia="en-US"/>
        </w:rPr>
        <w:t xml:space="preserve">fused </w:t>
      </w:r>
      <w:proofErr w:type="spellStart"/>
      <w:r w:rsidR="00C57D0E" w:rsidRPr="006413FB">
        <w:rPr>
          <w:rFonts w:eastAsia="Calibri"/>
          <w:lang w:val="en-CA" w:eastAsia="en-US"/>
        </w:rPr>
        <w:t>dipyrazoloheterocycle</w:t>
      </w:r>
      <w:proofErr w:type="spellEnd"/>
      <w:r>
        <w:t>.</w:t>
      </w:r>
    </w:p>
    <w:p w14:paraId="57328C08" w14:textId="77777777" w:rsidR="0030074F" w:rsidRDefault="0030074F">
      <w:pPr>
        <w:rPr>
          <w:lang w:eastAsia="cs-CZ"/>
        </w:rPr>
      </w:pPr>
    </w:p>
    <w:p w14:paraId="1B15CE2A" w14:textId="77777777" w:rsidR="00153323" w:rsidRPr="00153323" w:rsidRDefault="00153323" w:rsidP="00153323">
      <w:pPr>
        <w:suppressAutoHyphens w:val="0"/>
        <w:autoSpaceDE w:val="0"/>
        <w:autoSpaceDN w:val="0"/>
        <w:adjustRightInd w:val="0"/>
        <w:spacing w:after="0" w:line="360" w:lineRule="auto"/>
        <w:jc w:val="left"/>
        <w:rPr>
          <w:rFonts w:eastAsia="Calibri"/>
          <w:sz w:val="18"/>
          <w:szCs w:val="18"/>
          <w:lang w:val="en-CA" w:eastAsia="en-US"/>
        </w:rPr>
      </w:pPr>
      <w:r w:rsidRPr="00153323">
        <w:rPr>
          <w:rFonts w:eastAsia="Calibri"/>
          <w:sz w:val="18"/>
          <w:szCs w:val="18"/>
          <w:lang w:val="en-AU" w:eastAsia="en-US"/>
        </w:rPr>
        <w:t xml:space="preserve">[1] </w:t>
      </w:r>
      <w:r w:rsidRPr="00153323">
        <w:rPr>
          <w:rFonts w:eastAsia="Calibri"/>
          <w:sz w:val="18"/>
          <w:szCs w:val="18"/>
          <w:lang w:val="en-CA" w:eastAsia="en-US"/>
        </w:rPr>
        <w:t xml:space="preserve">Hiscock, L. K.; Joekar, D.; </w:t>
      </w:r>
      <w:proofErr w:type="spellStart"/>
      <w:r w:rsidRPr="00153323">
        <w:rPr>
          <w:rFonts w:eastAsia="Calibri"/>
          <w:sz w:val="18"/>
          <w:szCs w:val="18"/>
          <w:lang w:val="en-CA" w:eastAsia="en-US"/>
        </w:rPr>
        <w:t>Balonova</w:t>
      </w:r>
      <w:proofErr w:type="spellEnd"/>
      <w:r w:rsidRPr="00153323">
        <w:rPr>
          <w:rFonts w:eastAsia="Calibri"/>
          <w:sz w:val="18"/>
          <w:szCs w:val="18"/>
          <w:lang w:val="en-CA" w:eastAsia="en-US"/>
        </w:rPr>
        <w:t>, B.; Tomas Piqueras, M.; Schroeder, Z. W.; Jarvis, V.; Maly, K. E.; Blight, B. A.; Dawe, L. N. Structures, Phase Behavior, and Fluorescent Properties of 3-Phenyl-1-(Pyridin-2-yl)-1</w:t>
      </w:r>
      <w:r w:rsidRPr="00153323">
        <w:rPr>
          <w:rFonts w:eastAsia="Calibri"/>
          <w:i/>
          <w:iCs/>
          <w:sz w:val="18"/>
          <w:szCs w:val="18"/>
          <w:lang w:val="en-CA" w:eastAsia="en-US"/>
        </w:rPr>
        <w:t>H</w:t>
      </w:r>
      <w:r w:rsidRPr="00153323">
        <w:rPr>
          <w:rFonts w:eastAsia="Calibri"/>
          <w:sz w:val="18"/>
          <w:szCs w:val="18"/>
          <w:lang w:val="en-CA" w:eastAsia="en-US"/>
        </w:rPr>
        <w:t>-Pyrazol-5-Amine and Its ZnCl</w:t>
      </w:r>
      <w:r w:rsidRPr="00153323">
        <w:rPr>
          <w:rFonts w:eastAsia="Calibri"/>
          <w:sz w:val="18"/>
          <w:szCs w:val="18"/>
          <w:vertAlign w:val="subscript"/>
          <w:lang w:val="en-CA" w:eastAsia="en-US"/>
        </w:rPr>
        <w:t>2</w:t>
      </w:r>
      <w:r w:rsidRPr="00153323">
        <w:rPr>
          <w:rFonts w:eastAsia="Calibri"/>
          <w:sz w:val="18"/>
          <w:szCs w:val="18"/>
          <w:lang w:val="en-CA" w:eastAsia="en-US"/>
        </w:rPr>
        <w:t xml:space="preserve"> Complex. </w:t>
      </w:r>
      <w:r w:rsidRPr="00153323">
        <w:rPr>
          <w:rFonts w:eastAsia="Calibri"/>
          <w:i/>
          <w:iCs/>
          <w:sz w:val="18"/>
          <w:szCs w:val="18"/>
          <w:lang w:val="en-CA" w:eastAsia="en-US"/>
        </w:rPr>
        <w:t>Inorganic Chemistry</w:t>
      </w:r>
      <w:r w:rsidRPr="00153323">
        <w:rPr>
          <w:rFonts w:eastAsia="Calibri"/>
          <w:sz w:val="18"/>
          <w:szCs w:val="18"/>
          <w:lang w:val="en-CA" w:eastAsia="en-US"/>
        </w:rPr>
        <w:t xml:space="preserve"> </w:t>
      </w:r>
      <w:r w:rsidRPr="00153323">
        <w:rPr>
          <w:rFonts w:eastAsia="Calibri"/>
          <w:b/>
          <w:bCs/>
          <w:sz w:val="18"/>
          <w:szCs w:val="18"/>
          <w:lang w:val="en-CA" w:eastAsia="en-US"/>
        </w:rPr>
        <w:t>2019</w:t>
      </w:r>
      <w:r w:rsidRPr="00153323">
        <w:rPr>
          <w:rFonts w:eastAsia="Calibri"/>
          <w:sz w:val="18"/>
          <w:szCs w:val="18"/>
          <w:lang w:val="en-CA" w:eastAsia="en-US"/>
        </w:rPr>
        <w:t xml:space="preserve">, </w:t>
      </w:r>
      <w:r w:rsidRPr="00153323">
        <w:rPr>
          <w:rFonts w:eastAsia="Calibri"/>
          <w:i/>
          <w:iCs/>
          <w:sz w:val="18"/>
          <w:szCs w:val="18"/>
          <w:lang w:val="en-CA" w:eastAsia="en-US"/>
        </w:rPr>
        <w:t>58</w:t>
      </w:r>
      <w:r w:rsidRPr="00153323">
        <w:rPr>
          <w:rFonts w:eastAsia="Calibri"/>
          <w:sz w:val="18"/>
          <w:szCs w:val="18"/>
          <w:lang w:val="en-CA" w:eastAsia="en-US"/>
        </w:rPr>
        <w:t xml:space="preserve"> (24), 16317–16321. </w:t>
      </w:r>
      <w:hyperlink r:id="rId8" w:history="1">
        <w:r w:rsidRPr="00153323">
          <w:rPr>
            <w:rFonts w:eastAsia="Calibri"/>
            <w:color w:val="0563C1"/>
            <w:sz w:val="18"/>
            <w:szCs w:val="18"/>
            <w:u w:val="single"/>
            <w:lang w:val="en-CA" w:eastAsia="en-US"/>
          </w:rPr>
          <w:t>https://doi.org/10.1021/acs.inorgchem.9b02765</w:t>
        </w:r>
      </w:hyperlink>
      <w:r w:rsidRPr="00153323">
        <w:rPr>
          <w:rFonts w:eastAsia="Calibri"/>
          <w:sz w:val="18"/>
          <w:szCs w:val="18"/>
          <w:lang w:val="en-CA" w:eastAsia="en-US"/>
        </w:rPr>
        <w:t>.</w:t>
      </w:r>
    </w:p>
    <w:p w14:paraId="57328C13" w14:textId="1CF32894" w:rsidR="0030074F" w:rsidRPr="00153323" w:rsidRDefault="00153323" w:rsidP="00153323">
      <w:pPr>
        <w:suppressAutoHyphens w:val="0"/>
        <w:autoSpaceDE w:val="0"/>
        <w:autoSpaceDN w:val="0"/>
        <w:adjustRightInd w:val="0"/>
        <w:spacing w:after="0" w:line="360" w:lineRule="auto"/>
        <w:jc w:val="left"/>
        <w:rPr>
          <w:rFonts w:eastAsia="Calibri"/>
          <w:sz w:val="18"/>
          <w:szCs w:val="18"/>
          <w:lang w:val="en-CA" w:eastAsia="en-US"/>
        </w:rPr>
      </w:pPr>
      <w:r w:rsidRPr="00153323">
        <w:rPr>
          <w:rFonts w:eastAsia="Calibri"/>
          <w:sz w:val="18"/>
          <w:szCs w:val="18"/>
          <w:lang w:val="en-CA" w:eastAsia="en-US"/>
        </w:rPr>
        <w:t>[2]</w:t>
      </w:r>
      <w:r w:rsidRPr="00153323">
        <w:rPr>
          <w:sz w:val="18"/>
          <w:szCs w:val="18"/>
          <w:lang w:val="en-CA" w:eastAsia="en-CA"/>
        </w:rPr>
        <w:t xml:space="preserve"> </w:t>
      </w:r>
      <w:r w:rsidRPr="00153323">
        <w:rPr>
          <w:rFonts w:eastAsia="Calibri"/>
          <w:sz w:val="18"/>
          <w:szCs w:val="18"/>
          <w:lang w:val="en-CA" w:eastAsia="en-US"/>
        </w:rPr>
        <w:t xml:space="preserve">Jiang, B.; Fan, W.; Sun, M.-Y.; Ye, Q.; Wang, S.-L.; Tu, S.-J.; Li, G. Domino Reaction of </w:t>
      </w:r>
      <w:proofErr w:type="spellStart"/>
      <w:r w:rsidRPr="00153323">
        <w:rPr>
          <w:rFonts w:eastAsia="Calibri"/>
          <w:sz w:val="18"/>
          <w:szCs w:val="18"/>
          <w:lang w:val="en-CA" w:eastAsia="en-US"/>
        </w:rPr>
        <w:t>Arylglyoxals</w:t>
      </w:r>
      <w:proofErr w:type="spellEnd"/>
      <w:r w:rsidRPr="00153323">
        <w:rPr>
          <w:rFonts w:eastAsia="Calibri"/>
          <w:sz w:val="18"/>
          <w:szCs w:val="18"/>
          <w:lang w:val="en-CA" w:eastAsia="en-US"/>
        </w:rPr>
        <w:t xml:space="preserve"> with Pyrazol-5-Amines: Selective Access to Pyrazolo-Fused 1,7-Naphthyridines, 1,3-Diazocanes, and Pyrroles. </w:t>
      </w:r>
      <w:r w:rsidRPr="00153323">
        <w:rPr>
          <w:rFonts w:eastAsia="Calibri"/>
          <w:i/>
          <w:iCs/>
          <w:sz w:val="18"/>
          <w:szCs w:val="18"/>
          <w:lang w:val="en-CA" w:eastAsia="en-US"/>
        </w:rPr>
        <w:t>J. Org. Chem.</w:t>
      </w:r>
      <w:r w:rsidRPr="00153323">
        <w:rPr>
          <w:rFonts w:eastAsia="Calibri"/>
          <w:sz w:val="18"/>
          <w:szCs w:val="18"/>
          <w:lang w:val="en-CA" w:eastAsia="en-US"/>
        </w:rPr>
        <w:t xml:space="preserve"> </w:t>
      </w:r>
      <w:r w:rsidRPr="00153323">
        <w:rPr>
          <w:rFonts w:eastAsia="Calibri"/>
          <w:b/>
          <w:bCs/>
          <w:sz w:val="18"/>
          <w:szCs w:val="18"/>
          <w:lang w:val="en-CA" w:eastAsia="en-US"/>
        </w:rPr>
        <w:t>2014</w:t>
      </w:r>
      <w:r w:rsidRPr="00153323">
        <w:rPr>
          <w:rFonts w:eastAsia="Calibri"/>
          <w:sz w:val="18"/>
          <w:szCs w:val="18"/>
          <w:lang w:val="en-CA" w:eastAsia="en-US"/>
        </w:rPr>
        <w:t xml:space="preserve">, </w:t>
      </w:r>
      <w:r w:rsidRPr="00153323">
        <w:rPr>
          <w:rFonts w:eastAsia="Calibri"/>
          <w:i/>
          <w:iCs/>
          <w:sz w:val="18"/>
          <w:szCs w:val="18"/>
          <w:lang w:val="en-CA" w:eastAsia="en-US"/>
        </w:rPr>
        <w:t>79</w:t>
      </w:r>
      <w:r w:rsidRPr="00153323">
        <w:rPr>
          <w:rFonts w:eastAsia="Calibri"/>
          <w:sz w:val="18"/>
          <w:szCs w:val="18"/>
          <w:lang w:val="en-CA" w:eastAsia="en-US"/>
        </w:rPr>
        <w:t xml:space="preserve"> (11), 5258–5268. </w:t>
      </w:r>
      <w:hyperlink r:id="rId9" w:history="1">
        <w:r w:rsidRPr="00153323">
          <w:rPr>
            <w:rFonts w:eastAsia="Calibri"/>
            <w:color w:val="0563C1"/>
            <w:sz w:val="18"/>
            <w:szCs w:val="18"/>
            <w:u w:val="single"/>
            <w:lang w:val="en-CA" w:eastAsia="en-US"/>
          </w:rPr>
          <w:t>https://doi.org/10.1021/jo500823z</w:t>
        </w:r>
      </w:hyperlink>
      <w:r w:rsidRPr="00153323">
        <w:rPr>
          <w:rFonts w:eastAsia="Calibri"/>
          <w:sz w:val="18"/>
          <w:szCs w:val="18"/>
          <w:lang w:val="en-CA" w:eastAsia="en-US"/>
        </w:rPr>
        <w:t>.</w:t>
      </w:r>
    </w:p>
    <w:sectPr w:rsidR="0030074F" w:rsidRPr="00153323">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1B47" w14:textId="77777777" w:rsidR="00142869" w:rsidRDefault="00142869">
      <w:pPr>
        <w:spacing w:after="0"/>
      </w:pPr>
      <w:r>
        <w:separator/>
      </w:r>
    </w:p>
  </w:endnote>
  <w:endnote w:type="continuationSeparator" w:id="0">
    <w:p w14:paraId="2EBDBCDC" w14:textId="77777777" w:rsidR="00142869" w:rsidRDefault="00142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8C17" w14:textId="77777777" w:rsidR="0030074F" w:rsidRDefault="00000000">
    <w:pPr>
      <w:pStyle w:val="Footer"/>
    </w:pPr>
    <w:r>
      <w:t xml:space="preserve">Acta </w:t>
    </w:r>
    <w:proofErr w:type="spellStart"/>
    <w:r>
      <w:t>Cryst</w:t>
    </w:r>
    <w:proofErr w:type="spellEnd"/>
    <w:r>
      <w:t>. (2025). A81, e1</w:t>
    </w:r>
  </w:p>
  <w:p w14:paraId="57328C18" w14:textId="77777777" w:rsidR="0030074F" w:rsidRDefault="0030074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6DBF" w14:textId="77777777" w:rsidR="00142869" w:rsidRDefault="00142869">
      <w:pPr>
        <w:spacing w:after="0"/>
      </w:pPr>
      <w:r>
        <w:separator/>
      </w:r>
    </w:p>
  </w:footnote>
  <w:footnote w:type="continuationSeparator" w:id="0">
    <w:p w14:paraId="1A3408CB" w14:textId="77777777" w:rsidR="00142869" w:rsidRDefault="00142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8C16" w14:textId="2A4307E3" w:rsidR="0030074F" w:rsidRDefault="00000000">
    <w:pPr>
      <w:tabs>
        <w:tab w:val="center" w:pos="4703"/>
        <w:tab w:val="right" w:pos="9406"/>
      </w:tabs>
    </w:pPr>
    <w:r>
      <w:rPr>
        <w:b/>
        <w:bCs/>
      </w:rPr>
      <w:t>MS</w:t>
    </w:r>
    <w:r w:rsidR="00324470">
      <w:rPr>
        <w:b/>
        <w:bCs/>
      </w:rPr>
      <w:t>25</w:t>
    </w:r>
    <w:r>
      <w:tab/>
    </w:r>
    <w:r w:rsidR="00324470" w:rsidRPr="00324470">
      <w:rPr>
        <w:b/>
        <w:bCs/>
      </w:rPr>
      <w:t>Supramolecular interactions behind crystal engineering</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74F"/>
    <w:rsid w:val="000B737E"/>
    <w:rsid w:val="00142869"/>
    <w:rsid w:val="00143A37"/>
    <w:rsid w:val="00153323"/>
    <w:rsid w:val="00180D18"/>
    <w:rsid w:val="00221ED8"/>
    <w:rsid w:val="0030074F"/>
    <w:rsid w:val="00324470"/>
    <w:rsid w:val="004D246A"/>
    <w:rsid w:val="006413FB"/>
    <w:rsid w:val="007327F8"/>
    <w:rsid w:val="009425C6"/>
    <w:rsid w:val="009A6493"/>
    <w:rsid w:val="00A527BE"/>
    <w:rsid w:val="00C57D0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328BFE"/>
  <w15:docId w15:val="{B46692E5-A458-4D96-B3E8-94285EEA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21/acs.inorgchem.9b027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21/jo500823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453</Words>
  <Characters>2583</Characters>
  <Application>Microsoft Office Word</Application>
  <DocSecurity>0</DocSecurity>
  <Lines>21</Lines>
  <Paragraphs>6</Paragraphs>
  <ScaleCrop>false</ScaleCrop>
  <Company>MFF UK</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Louise Dawe</cp:lastModifiedBy>
  <cp:revision>29</cp:revision>
  <dcterms:created xsi:type="dcterms:W3CDTF">2019-09-04T15:26:00Z</dcterms:created>
  <dcterms:modified xsi:type="dcterms:W3CDTF">2025-04-29T21:40:00Z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