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6D153" w14:textId="1C7EFB6F" w:rsidR="00942330" w:rsidRDefault="00782146">
      <w:pPr>
        <w:pStyle w:val="Heading1"/>
      </w:pPr>
      <w:r w:rsidRPr="00782146">
        <w:t>Structure-based hit discovery for protein and RNA targets for antibiotics</w:t>
      </w:r>
    </w:p>
    <w:p w14:paraId="1D795005" w14:textId="1F7E36D9" w:rsidR="00942330" w:rsidRDefault="00782146">
      <w:pPr>
        <w:pStyle w:val="Heading2"/>
      </w:pPr>
      <w:r>
        <w:t>R. Brenk</w:t>
      </w:r>
    </w:p>
    <w:p w14:paraId="51FF94C0" w14:textId="2BD36E97" w:rsidR="00942330" w:rsidRDefault="00F8266D">
      <w:pPr>
        <w:pStyle w:val="Heading3"/>
      </w:pPr>
      <w:r>
        <w:rPr>
          <w:vertAlign w:val="superscript"/>
        </w:rPr>
        <w:t>1</w:t>
      </w:r>
      <w:r w:rsidR="00782146">
        <w:t>Department of Biomedicine, University of Bergen, Jonas Leis Vei 91, 5020 Bergen, Norway</w:t>
      </w:r>
    </w:p>
    <w:p w14:paraId="54FA67C9" w14:textId="25A7799C" w:rsidR="00942330" w:rsidRDefault="00782146">
      <w:pPr>
        <w:pStyle w:val="Heading3"/>
        <w:rPr>
          <w:sz w:val="18"/>
          <w:szCs w:val="18"/>
        </w:rPr>
      </w:pPr>
      <w:r>
        <w:t>ruth.brenk@uib.no</w:t>
      </w:r>
      <w:r w:rsidR="00F8266D">
        <w:rPr>
          <w:lang w:eastAsia="de-DE"/>
        </w:rPr>
        <w:br/>
      </w:r>
    </w:p>
    <w:p w14:paraId="5D2C37DF" w14:textId="121F1147" w:rsidR="00BD11FE" w:rsidRDefault="00782146" w:rsidP="00BD11FE">
      <w:pPr>
        <w:rPr>
          <w:rFonts w:eastAsia="ArialMT"/>
          <w:color w:val="000000"/>
          <w:lang w:eastAsia="nb-NO"/>
        </w:rPr>
      </w:pPr>
      <w:r w:rsidRPr="0031147B">
        <w:t xml:space="preserve">There is an urgent need for new antibiotics to prevent the looming crisis of antimicrobial resistance. </w:t>
      </w:r>
      <w:r>
        <w:t>F</w:t>
      </w:r>
      <w:r w:rsidRPr="0031147B">
        <w:t>undamental knowledge on new targets for antibiotics</w:t>
      </w:r>
      <w:r>
        <w:t xml:space="preserve"> is critically needed, as are</w:t>
      </w:r>
      <w:r w:rsidRPr="0031147B">
        <w:t xml:space="preserve"> compounds that </w:t>
      </w:r>
      <w:r>
        <w:t>will penetrate</w:t>
      </w:r>
      <w:r w:rsidRPr="0031147B">
        <w:t xml:space="preserve"> bacteria and</w:t>
      </w:r>
      <w:r>
        <w:t xml:space="preserve"> act</w:t>
      </w:r>
      <w:r w:rsidRPr="0031147B">
        <w:t xml:space="preserve"> on these targets</w:t>
      </w:r>
      <w:r w:rsidR="00BD11FE">
        <w:t xml:space="preserve"> </w:t>
      </w:r>
      <w:r w:rsidR="00BD11FE">
        <w:fldChar w:fldCharType="begin"/>
      </w:r>
      <w:r w:rsidR="009C1D9C">
        <w:instrText xml:space="preserve"> ADDIN ZOTERO_ITEM CSL_CITATION {"citationID":"aogn4x9j","properties":{"formattedCitation":"[3]","plainCitation":"[3]","noteIndex":0},"citationItems":[{"id":15069,"uris":["http://zotero.org/users/3156900/items/33PML2FP"],"itemData":{"id":15069,"type":"article-journal","abstract":"The antibacterial agents currently in clinical development are predominantly derivatives of well-established antibiotic classes and were selected to address the class-specific resistance mechanisms and determinants that were known at the time of their discovery. Many of these agents aim to target the antibiotic-resistant priority pathogens listed by the WHO, including Gram-negative bacteria in the critical priority category, such as carbapenem-resistant Acinetobacter, Pseudomonas and Enterobacterales. Although some current compounds in the pipeline have exhibited increased susceptibility rates in surveillance studies that depend on geography, pre-existing cross-resistance both within and across antibacterial classes limits the activity of many of the new agents against the most extensively drug-resistant (XDR) and pan-drug-resistant (PDR) Gram-negative pathogens. In particular, cross-resistance to unrelated classes may occur by co-selection of resistant strains, thus leading to the rapid emergence and subsequent spread of resistance. There is a continued need for innovation and new-class antibacterial agents in order to provide effective therapeutic options against infections specifically caused by XDR and PDR Gram-negative bacteria.","container-title":"Nature Reviews Microbiology","DOI":"10.1038/s41579-020-0340-0","ISSN":"1740-1534","issue":"5","language":"en","license":"2020 Springer Nature Limited","note":"number: 5\npublisher: Nature Publishing Group","page":"286-298","source":"www.nature.com","title":"Critical analysis of antibacterial agents in clinical development","volume":"18","author":[{"family":"Theuretzbacher","given":"Ursula"},{"family":"Bush","given":"Karen"},{"family":"Harbarth","given":"Stephan"},{"family":"Paul","given":"Mical"},{"family":"Rex","given":"John H."},{"family":"Tacconelli","given":"Evelina"},{"family":"Thwaites","given":"Guy E."}],"issued":{"date-parts":[["2020",5]]}}}],"schema":"https://github.com/citation-style-language/schema/raw/master/csl-citation.json"} </w:instrText>
      </w:r>
      <w:r w:rsidR="00BD11FE">
        <w:fldChar w:fldCharType="separate"/>
      </w:r>
      <w:r w:rsidR="009C1D9C" w:rsidRPr="009C1D9C">
        <w:t>[3]</w:t>
      </w:r>
      <w:r w:rsidR="00BD11FE">
        <w:fldChar w:fldCharType="end"/>
      </w:r>
      <w:r w:rsidR="00BD11FE">
        <w:t>.</w:t>
      </w:r>
      <w:r w:rsidRPr="0031147B">
        <w:t xml:space="preserve"> </w:t>
      </w:r>
      <w:r>
        <w:t xml:space="preserve">To fuel the discovery pipeline, we are exploring proteins and RNA targets </w:t>
      </w:r>
      <w:r w:rsidR="00BD11FE">
        <w:t>using a</w:t>
      </w:r>
      <w:r>
        <w:t xml:space="preserve"> structure-based </w:t>
      </w:r>
      <w:r w:rsidR="00BD11FE">
        <w:t>approach</w:t>
      </w:r>
      <w:r>
        <w:t xml:space="preserve">. For </w:t>
      </w:r>
      <w:r w:rsidR="00BD11FE">
        <w:t xml:space="preserve">our </w:t>
      </w:r>
      <w:r>
        <w:t xml:space="preserve">protein-targeted drug discovery efforts, we have carried out fragment screenings against enzymes in the fatty acid synthesis pathway. Using biophysical methods such as bio-layer interferometry (BLI) and X-ray crystallography, we have discovered a number of </w:t>
      </w:r>
      <w:r w:rsidR="00BD11FE">
        <w:t xml:space="preserve">covalently and non-covalently binding fragments </w:t>
      </w:r>
      <w:r w:rsidR="009C1D9C">
        <w:t xml:space="preserve">which were then explored using different strategies (Figure 1) </w:t>
      </w:r>
      <w:r w:rsidR="00BD11FE">
        <w:fldChar w:fldCharType="begin"/>
      </w:r>
      <w:r w:rsidR="009C1D9C">
        <w:instrText xml:space="preserve"> ADDIN ZOTERO_ITEM CSL_CITATION {"citationID":"sxLOrigB","properties":{"formattedCitation":"[1]","plainCitation":"[1]","noteIndex":0},"citationItems":[{"id":16797,"uris":["http://zotero.org/users/3156900/items/II99U6GU"],"itemData":{"id":16797,"type":"article-journal","abstract":"There is an urgent need for new antibiotics. FabF (3-oxoacyl-[acyl-carrier-protein] synthase 2), which catalyses the rate limiting condensation reaction in the fatty acid synthesis II pathway, is an attractive target. Very few inhibitors of FabF are known and most are derived from natural products. In an effort to further explore the chemical space of FabF ligands, we have carried out fragment screening by X-ray crystallography against an intermediated state-mimicking variant of P. aeruginosa FabF (PaFabF C164Q). This screen has resulted in 48 hits out of which 16 bind in or close to the malonyl-CoA or fatty acid binding site or an adjacent dimer interface. None of the closer investigated fragments were active in a binding assay, but the same was the case for fragments derived from a potent FabF inhibitor. For hit optimization, we focused on the two fragments binding close to the catalytic residues of FabF. Different strategies were followed in the optimization process: exploration of commercially available analogues, fragment merging, virtual screening of a combinatorial make-on-demand space, and design and in-house synthesis of analogues. In total, more than 90 analogues of the hit compounds were explored, and for 10 of those co-crystal structures could be determined. The most potent ligand was discovered using manual structure-based design and has a binding affinity of 65 μM. This data package forms a strong foundation for the development of more potent and diverse FabF inhibitors.","container-title":"European Journal of Medicinal Chemistry","DOI":"10.1016/j.ejmech.2025.117563","ISSN":"0223-5234","journalAbbreviation":"European Journal of Medicinal Chemistry","page":"117563","source":"ScienceDirect","title":"Towards new antibiotics: &lt;i&gt;P. aeruginosa&lt;/i&gt; FabF ligands discovered by crystallographic fragment screening followed by hit expansion","title-short":"Towards new antibiotics","author":[{"family":"Georgiou","given":"Charis"},{"family":"Espeland","given":"Ludvik Olai"},{"family":"Bukya","given":"Hemalatha"},{"family":"Yadrykhins’ky","given":"Vladyslav"},{"family":"Haug","given":"Bengt Erik"},{"family":"Mainkar","given":"Prathama S."},{"family":"Brenk","given":"Ruth"}],"issued":{"date-parts":[["2025",4,3]]}}}],"schema":"https://github.com/citation-style-language/schema/raw/master/csl-citation.json"} </w:instrText>
      </w:r>
      <w:r w:rsidR="00BD11FE">
        <w:fldChar w:fldCharType="separate"/>
      </w:r>
      <w:r w:rsidR="009C1D9C" w:rsidRPr="009C1D9C">
        <w:t>[1]</w:t>
      </w:r>
      <w:r w:rsidR="00BD11FE">
        <w:fldChar w:fldCharType="end"/>
      </w:r>
      <w:r w:rsidR="009C1D9C">
        <w:t>.</w:t>
      </w:r>
      <w:r w:rsidR="00BD11FE">
        <w:t xml:space="preserve"> In the RNA area, we are focusing on riboswitches. These</w:t>
      </w:r>
      <w:r w:rsidR="00BD11FE" w:rsidRPr="007F2631">
        <w:rPr>
          <w:rFonts w:eastAsia="ArialMT"/>
          <w:color w:val="000000"/>
          <w:lang w:eastAsia="nb-NO"/>
        </w:rPr>
        <w:t xml:space="preserve"> are </w:t>
      </w:r>
      <w:r w:rsidR="00BD11FE" w:rsidRPr="007F2631">
        <w:rPr>
          <w:rFonts w:eastAsia="ArialMT"/>
          <w:i/>
          <w:color w:val="000000"/>
          <w:lang w:eastAsia="nb-NO"/>
        </w:rPr>
        <w:t>cis</w:t>
      </w:r>
      <w:r w:rsidR="00BD11FE" w:rsidRPr="007F2631">
        <w:rPr>
          <w:rFonts w:eastAsia="ArialMT"/>
          <w:color w:val="000000"/>
          <w:lang w:eastAsia="nb-NO"/>
        </w:rPr>
        <w:t>-acting gene regulatory elements located in the 5' untranslated region of mRNAs</w:t>
      </w:r>
      <w:r w:rsidR="00BD11FE">
        <w:rPr>
          <w:rFonts w:eastAsia="ArialMT"/>
          <w:color w:val="000000"/>
          <w:lang w:eastAsia="nb-NO"/>
        </w:rPr>
        <w:t>.</w:t>
      </w:r>
      <w:r w:rsidR="009C1D9C">
        <w:rPr>
          <w:rFonts w:eastAsia="ArialMT"/>
          <w:color w:val="000000"/>
          <w:lang w:eastAsia="nb-NO"/>
        </w:rPr>
        <w:fldChar w:fldCharType="begin"/>
      </w:r>
      <w:r w:rsidR="009C1D9C">
        <w:rPr>
          <w:rFonts w:eastAsia="ArialMT"/>
          <w:color w:val="000000"/>
          <w:lang w:eastAsia="nb-NO"/>
        </w:rPr>
        <w:instrText xml:space="preserve"> ADDIN ZOTERO_ITEM CSL_CITATION {"citationID":"KrYZFM8t","properties":{"formattedCitation":"[2]","plainCitation":"[2]","noteIndex":0},"citationItems":[{"id":14955,"uris":["http://zotero.org/users/3156900/items/F6EYSVVR"],"itemData":{"id":14955,"type":"article-journal","abstract":"Riboswitches reside in the untranslated region of RNA and regulate genes involved in the biosynthesis of essential metabolites through binding of small molecules. Since their discovery at the beginning of this century, riboswitches have been regarded as potential antibacterial targets. Using fragment screening, high-throughput screening and rational ligand design guided by X-ray crystallography, lead compounds against various riboswitches have been identified. Here, we review the current status and suitability of the thiamine pyrophosphate (TPP), flavin mononucleotide (FMN), glmS, guanine, and other riboswitches as antibacterial targets and discuss them in a biological context. Further, we highlight challenges in riboswitch drug discovery and emphasis the need to develop riboswitch specific high-throughput screening methods.","container-title":"Antibiotics","DOI":"10.3390/antibiotics10010045","ISSN":"(Invited review, Editor's choice)","issue":"1","language":"en","license":"http://creativecommons.org/licenses/by/3.0/","note":"number: 1\npublisher: Multidisciplinary Digital Publishing Institute","page":"45","source":"www.mdpi.com","title":"Riboswitches as Drug Targets for Antibiotics","volume":"10","author":[{"family":"Panchal","given":"Vipul"},{"family":"Brenk","given":"Ruth"}],"issued":{"date-parts":[["2021",1]]}}}],"schema":"https://github.com/citation-style-language/schema/raw/master/csl-citation.json"} </w:instrText>
      </w:r>
      <w:r w:rsidR="009C1D9C">
        <w:rPr>
          <w:rFonts w:eastAsia="ArialMT"/>
          <w:color w:val="000000"/>
          <w:lang w:eastAsia="nb-NO"/>
        </w:rPr>
        <w:fldChar w:fldCharType="separate"/>
      </w:r>
      <w:r w:rsidR="009C1D9C" w:rsidRPr="009C1D9C">
        <w:rPr>
          <w:rFonts w:eastAsia="ArialMT"/>
        </w:rPr>
        <w:t>[2]</w:t>
      </w:r>
      <w:r w:rsidR="009C1D9C">
        <w:rPr>
          <w:rFonts w:eastAsia="ArialMT"/>
          <w:color w:val="000000"/>
          <w:lang w:eastAsia="nb-NO"/>
        </w:rPr>
        <w:fldChar w:fldCharType="end"/>
      </w:r>
      <w:r w:rsidR="00BD11FE" w:rsidRPr="007F2631">
        <w:rPr>
          <w:rFonts w:eastAsia="ArialMT"/>
          <w:color w:val="000000"/>
          <w:lang w:eastAsia="nb-NO"/>
        </w:rPr>
        <w:t xml:space="preserve"> Their widespread occurrence in bacteria combined with their </w:t>
      </w:r>
      <w:r w:rsidR="00BD11FE">
        <w:rPr>
          <w:rFonts w:eastAsia="ArialMT"/>
          <w:color w:val="000000"/>
          <w:lang w:eastAsia="nb-NO"/>
        </w:rPr>
        <w:t>regulatory role on</w:t>
      </w:r>
      <w:r w:rsidR="00BD11FE" w:rsidRPr="007F2631">
        <w:rPr>
          <w:rFonts w:eastAsia="ArialMT"/>
          <w:color w:val="000000"/>
          <w:lang w:eastAsia="nb-NO"/>
        </w:rPr>
        <w:t xml:space="preserve"> gene expression </w:t>
      </w:r>
      <w:r w:rsidR="00BD11FE">
        <w:rPr>
          <w:rFonts w:eastAsia="ArialMT"/>
          <w:color w:val="000000"/>
          <w:lang w:eastAsia="nb-NO"/>
        </w:rPr>
        <w:t>through</w:t>
      </w:r>
      <w:r w:rsidR="00BD11FE" w:rsidRPr="007F2631">
        <w:rPr>
          <w:rFonts w:eastAsia="ArialMT"/>
          <w:color w:val="000000"/>
          <w:lang w:eastAsia="nb-NO"/>
        </w:rPr>
        <w:t xml:space="preserve"> binding </w:t>
      </w:r>
      <w:r w:rsidR="00BD11FE">
        <w:rPr>
          <w:rFonts w:eastAsia="ArialMT"/>
          <w:color w:val="000000"/>
          <w:lang w:eastAsia="nb-NO"/>
        </w:rPr>
        <w:t xml:space="preserve">of </w:t>
      </w:r>
      <w:r w:rsidR="00BD11FE" w:rsidRPr="007F2631">
        <w:rPr>
          <w:rFonts w:eastAsia="ArialMT"/>
          <w:color w:val="000000"/>
          <w:lang w:eastAsia="nb-NO"/>
        </w:rPr>
        <w:t>small molecules makes them potential drug targets against a range of bacteria</w:t>
      </w:r>
      <w:r w:rsidR="00BD11FE">
        <w:rPr>
          <w:rFonts w:eastAsia="ArialMT"/>
          <w:color w:val="000000"/>
          <w:lang w:eastAsia="nb-NO"/>
        </w:rPr>
        <w:t>.</w:t>
      </w:r>
      <w:r w:rsidR="00BD11FE">
        <w:rPr>
          <w:rFonts w:eastAsia="ArialMT"/>
          <w:color w:val="000000"/>
          <w:lang w:eastAsia="nb-NO"/>
        </w:rPr>
        <w:t xml:space="preserve"> We have discovered </w:t>
      </w:r>
      <w:r w:rsidR="00BD11FE">
        <w:rPr>
          <w:rFonts w:eastAsia="ArialMT"/>
          <w:color w:val="000000"/>
          <w:lang w:eastAsia="nb-NO"/>
        </w:rPr>
        <w:t>new ligands for the FMN and TPP riboswitches using a combination of structure-based based design, high-throughput screening and fragment screening. To support hit optimization, we have also dissected a previously reported drug-like FMN riboswitch ligand into smaller fragments to identify hot spots in the binding site. The insights gained from this analysis can now guide the optimization of the hit compounds</w:t>
      </w:r>
      <w:r w:rsidR="00BD11FE">
        <w:rPr>
          <w:rFonts w:eastAsia="ArialMT"/>
          <w:color w:val="000000"/>
          <w:lang w:eastAsia="nb-NO"/>
        </w:rPr>
        <w:t>.</w:t>
      </w:r>
    </w:p>
    <w:p w14:paraId="56FB5E6B" w14:textId="77777777" w:rsidR="009C1D9C" w:rsidRDefault="009C1D9C" w:rsidP="00BD11FE">
      <w:pPr>
        <w:rPr>
          <w:rFonts w:eastAsia="ArialMT"/>
          <w:color w:val="000000"/>
          <w:lang w:eastAsia="nb-NO"/>
        </w:rPr>
      </w:pPr>
    </w:p>
    <w:p w14:paraId="539DB609" w14:textId="2B4D4EB8" w:rsidR="009C1D9C" w:rsidRDefault="00F8266D" w:rsidP="009C1D9C">
      <w:pPr>
        <w:jc w:val="center"/>
        <w:rPr>
          <w:rFonts w:eastAsia="ArialMT"/>
          <w:color w:val="000000"/>
          <w:lang w:eastAsia="nb-NO"/>
        </w:rPr>
      </w:pPr>
      <w:r>
        <w:rPr>
          <w:rFonts w:eastAsia="ArialMT"/>
          <w:noProof/>
          <w:color w:val="000000"/>
          <w:lang w:eastAsia="nb-NO"/>
        </w:rPr>
        <w:drawing>
          <wp:inline distT="0" distB="0" distL="0" distR="0" wp14:anchorId="6D5635D0" wp14:editId="4322DB8B">
            <wp:extent cx="3554095" cy="17684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4095" cy="1768475"/>
                    </a:xfrm>
                    <a:prstGeom prst="rect">
                      <a:avLst/>
                    </a:prstGeom>
                    <a:noFill/>
                    <a:ln>
                      <a:noFill/>
                    </a:ln>
                  </pic:spPr>
                </pic:pic>
              </a:graphicData>
            </a:graphic>
          </wp:inline>
        </w:drawing>
      </w:r>
    </w:p>
    <w:p w14:paraId="484DAEA2" w14:textId="500987EA" w:rsidR="00942330" w:rsidRDefault="00F8266D">
      <w:pPr>
        <w:jc w:val="center"/>
      </w:pPr>
      <w:r>
        <w:rPr>
          <w:noProof/>
        </w:rPr>
        <mc:AlternateContent>
          <mc:Choice Requires="wps">
            <w:drawing>
              <wp:anchor distT="0" distB="0" distL="114300" distR="114300" simplePos="0" relativeHeight="251657728" behindDoc="0" locked="0" layoutInCell="1" allowOverlap="1" wp14:anchorId="2D46E884" wp14:editId="75942983">
                <wp:simplePos x="0" y="0"/>
                <wp:positionH relativeFrom="column">
                  <wp:posOffset>0</wp:posOffset>
                </wp:positionH>
                <wp:positionV relativeFrom="paragraph">
                  <wp:posOffset>0</wp:posOffset>
                </wp:positionV>
                <wp:extent cx="635000" cy="635000"/>
                <wp:effectExtent l="0" t="0" r="3175" b="3175"/>
                <wp:wrapNone/>
                <wp:docPr id="845414568"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41382"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7315A83" w14:textId="18B2F034" w:rsidR="00942330" w:rsidRDefault="00F8266D">
      <w:pPr>
        <w:pStyle w:val="Heading6"/>
      </w:pPr>
      <w:r>
        <w:rPr>
          <w:b/>
        </w:rPr>
        <w:t>Figure 1</w:t>
      </w:r>
      <w:r>
        <w:t xml:space="preserve">. </w:t>
      </w:r>
      <w:r w:rsidR="009C1D9C">
        <w:t xml:space="preserve">Using crystallographic fragment screening, hits were discovered for FabF and subsequently elaborated using different methods. (Figure taken from </w:t>
      </w:r>
      <w:r w:rsidR="009C1D9C">
        <w:fldChar w:fldCharType="begin"/>
      </w:r>
      <w:r w:rsidR="009C1D9C">
        <w:instrText xml:space="preserve"> ADDIN ZOTERO_ITEM CSL_CITATION {"citationID":"NQ2sqjpM","properties":{"formattedCitation":"[1]","plainCitation":"[1]","noteIndex":0},"citationItems":[{"id":16797,"uris":["http://zotero.org/users/3156900/items/II99U6GU"],"itemData":{"id":16797,"type":"article-journal","abstract":"There is an urgent need for new antibiotics. FabF (3-oxoacyl-[acyl-carrier-protein] synthase 2), which catalyses the rate limiting condensation reaction in the fatty acid synthesis II pathway, is an attractive target. Very few inhibitors of FabF are known and most are derived from natural products. In an effort to further explore the chemical space of FabF ligands, we have carried out fragment screening by X-ray crystallography against an intermediated state-mimicking variant of P. aeruginosa FabF (PaFabF C164Q). This screen has resulted in 48 hits out of which 16 bind in or close to the malonyl-CoA or fatty acid binding site or an adjacent dimer interface. None of the closer investigated fragments were active in a binding assay, but the same was the case for fragments derived from a potent FabF inhibitor. For hit optimization, we focused on the two fragments binding close to the catalytic residues of FabF. Different strategies were followed in the optimization process: exploration of commercially available analogues, fragment merging, virtual screening of a combinatorial make-on-demand space, and design and in-house synthesis of analogues. In total, more than 90 analogues of the hit compounds were explored, and for 10 of those co-crystal structures could be determined. The most potent ligand was discovered using manual structure-based design and has a binding affinity of 65 μM. This data package forms a strong foundation for the development of more potent and diverse FabF inhibitors.","container-title":"European Journal of Medicinal Chemistry","DOI":"10.1016/j.ejmech.2025.117563","ISSN":"0223-5234","journalAbbreviation":"European Journal of Medicinal Chemistry","page":"117563","source":"ScienceDirect","title":"Towards new antibiotics: &lt;i&gt;P. aeruginosa&lt;/i&gt; FabF ligands discovered by crystallographic fragment screening followed by hit expansion","title-short":"Towards new antibiotics","author":[{"family":"Georgiou","given":"Charis"},{"family":"Espeland","given":"Ludvik Olai"},{"family":"Bukya","given":"Hemalatha"},{"family":"Yadrykhins’ky","given":"Vladyslav"},{"family":"Haug","given":"Bengt Erik"},{"family":"Mainkar","given":"Prathama S."},{"family":"Brenk","given":"Ruth"}],"issued":{"date-parts":[["2025",4,3]]}}}],"schema":"https://github.com/citation-style-language/schema/raw/master/csl-citation.json"} </w:instrText>
      </w:r>
      <w:r w:rsidR="009C1D9C">
        <w:fldChar w:fldCharType="separate"/>
      </w:r>
      <w:r w:rsidR="009C1D9C" w:rsidRPr="009C1D9C">
        <w:t>[1]</w:t>
      </w:r>
      <w:r w:rsidR="009C1D9C">
        <w:fldChar w:fldCharType="end"/>
      </w:r>
      <w:r w:rsidR="009C1D9C">
        <w:t>)</w:t>
      </w:r>
      <w:r>
        <w:t>.</w:t>
      </w:r>
    </w:p>
    <w:p w14:paraId="6B6A2F60" w14:textId="77777777" w:rsidR="00942330" w:rsidRDefault="00942330">
      <w:pPr>
        <w:rPr>
          <w:lang w:eastAsia="cs-CZ"/>
        </w:rPr>
      </w:pPr>
    </w:p>
    <w:p w14:paraId="074BD7D1" w14:textId="77777777" w:rsidR="009C1D9C" w:rsidRPr="009C1D9C" w:rsidRDefault="00BD11FE" w:rsidP="009C1D9C">
      <w:pPr>
        <w:pStyle w:val="Bibliography"/>
        <w:rPr>
          <w:sz w:val="18"/>
        </w:rPr>
      </w:pPr>
      <w:r>
        <w:fldChar w:fldCharType="begin"/>
      </w:r>
      <w:r w:rsidR="009C1D9C">
        <w:instrText xml:space="preserve"> ADDIN ZOTERO_BIBL {"uncited":[],"omitted":[],"custom":[]} CSL_BIBLIOGRAPHY </w:instrText>
      </w:r>
      <w:r>
        <w:fldChar w:fldCharType="separate"/>
      </w:r>
      <w:r w:rsidR="009C1D9C" w:rsidRPr="009C1D9C">
        <w:rPr>
          <w:sz w:val="18"/>
        </w:rPr>
        <w:t>[1]</w:t>
      </w:r>
      <w:r w:rsidR="009C1D9C" w:rsidRPr="009C1D9C">
        <w:rPr>
          <w:sz w:val="18"/>
        </w:rPr>
        <w:tab/>
        <w:t xml:space="preserve">Charis Georgiou, Ludvik Olai Espeland, Hemalatha Bukya, Vladyslav Yadrykhins’ky, Bengt Erik Haug, Prathama S. Mainkar, and Ruth Brenk. 2025. Towards new antibiotics: </w:t>
      </w:r>
      <w:r w:rsidR="009C1D9C" w:rsidRPr="009C1D9C">
        <w:rPr>
          <w:i/>
          <w:iCs/>
          <w:sz w:val="18"/>
        </w:rPr>
        <w:t>P. aeruginosa</w:t>
      </w:r>
      <w:r w:rsidR="009C1D9C" w:rsidRPr="009C1D9C">
        <w:rPr>
          <w:sz w:val="18"/>
        </w:rPr>
        <w:t xml:space="preserve"> FabF ligands discovered by crystallographic fragment screening followed by hit expansion. </w:t>
      </w:r>
      <w:r w:rsidR="009C1D9C" w:rsidRPr="009C1D9C">
        <w:rPr>
          <w:i/>
          <w:iCs/>
          <w:sz w:val="18"/>
        </w:rPr>
        <w:t>Eur. J. Med. Chem.</w:t>
      </w:r>
      <w:r w:rsidR="009C1D9C" w:rsidRPr="009C1D9C">
        <w:rPr>
          <w:sz w:val="18"/>
        </w:rPr>
        <w:t xml:space="preserve"> (April 2025), 117563. https://doi.org/10.1016/j.ejmech.2025.117563</w:t>
      </w:r>
    </w:p>
    <w:p w14:paraId="03A30ECC" w14:textId="77777777" w:rsidR="009C1D9C" w:rsidRPr="009C1D9C" w:rsidRDefault="009C1D9C" w:rsidP="009C1D9C">
      <w:pPr>
        <w:pStyle w:val="Bibliography"/>
        <w:rPr>
          <w:sz w:val="18"/>
        </w:rPr>
      </w:pPr>
      <w:r w:rsidRPr="009C1D9C">
        <w:rPr>
          <w:sz w:val="18"/>
        </w:rPr>
        <w:t>[2]</w:t>
      </w:r>
      <w:r w:rsidRPr="009C1D9C">
        <w:rPr>
          <w:sz w:val="18"/>
        </w:rPr>
        <w:tab/>
        <w:t xml:space="preserve">Vipul Panchal and Ruth Brenk. 2021. Riboswitches as Drug Targets for Antibiotics. </w:t>
      </w:r>
      <w:r w:rsidRPr="009C1D9C">
        <w:rPr>
          <w:i/>
          <w:iCs/>
          <w:sz w:val="18"/>
        </w:rPr>
        <w:t>Antibiotics</w:t>
      </w:r>
      <w:r w:rsidRPr="009C1D9C">
        <w:rPr>
          <w:sz w:val="18"/>
        </w:rPr>
        <w:t xml:space="preserve"> 10, 1 (January 2021), 45. https://doi.org/10.3390/antibiotics10010045</w:t>
      </w:r>
    </w:p>
    <w:p w14:paraId="217B5F7C" w14:textId="77777777" w:rsidR="009C1D9C" w:rsidRPr="009C1D9C" w:rsidRDefault="009C1D9C" w:rsidP="009C1D9C">
      <w:pPr>
        <w:pStyle w:val="Bibliography"/>
        <w:rPr>
          <w:sz w:val="18"/>
        </w:rPr>
      </w:pPr>
      <w:r w:rsidRPr="009C1D9C">
        <w:rPr>
          <w:sz w:val="18"/>
        </w:rPr>
        <w:t>[3]</w:t>
      </w:r>
      <w:r w:rsidRPr="009C1D9C">
        <w:rPr>
          <w:sz w:val="18"/>
        </w:rPr>
        <w:tab/>
        <w:t xml:space="preserve">Ursula Theuretzbacher, Karen Bush, Stephan Harbarth, Mical Paul, John H. Rex, Evelina Tacconelli, and Guy E. Thwaites. 2020. Critical analysis of antibacterial agents in clinical development. </w:t>
      </w:r>
      <w:r w:rsidRPr="009C1D9C">
        <w:rPr>
          <w:i/>
          <w:iCs/>
          <w:sz w:val="18"/>
        </w:rPr>
        <w:t>Nat. Rev. Microbiol.</w:t>
      </w:r>
      <w:r w:rsidRPr="009C1D9C">
        <w:rPr>
          <w:sz w:val="18"/>
        </w:rPr>
        <w:t xml:space="preserve"> 18, 5 (May 2020), 286–298. https://doi.org/10.1038/s41579-020-0340-0</w:t>
      </w:r>
    </w:p>
    <w:p w14:paraId="4E22B151" w14:textId="0D458014" w:rsidR="00942330" w:rsidRDefault="00BD11FE" w:rsidP="009C1D9C">
      <w:pPr>
        <w:pStyle w:val="Heading4"/>
      </w:pPr>
      <w:r>
        <w:fldChar w:fldCharType="end"/>
      </w:r>
    </w:p>
    <w:p w14:paraId="23F947DE" w14:textId="3FF480F8" w:rsidR="00942330" w:rsidRDefault="009C1D9C">
      <w:pPr>
        <w:pStyle w:val="Acknowledgement"/>
      </w:pPr>
      <w:r>
        <w:rPr>
          <w:lang w:eastAsia="cs-CZ"/>
        </w:rPr>
        <w:t>The Brenk lab receives funding from the Norwegian Research Council (</w:t>
      </w:r>
      <w:r w:rsidRPr="004051A7">
        <w:t>335044</w:t>
      </w:r>
      <w:r>
        <w:t xml:space="preserve">, </w:t>
      </w:r>
      <w:r w:rsidRPr="00C63280">
        <w:t>294594</w:t>
      </w:r>
      <w:r>
        <w:t xml:space="preserve">, </w:t>
      </w:r>
      <w:r w:rsidRPr="009C1D9C">
        <w:t>273588)</w:t>
      </w:r>
      <w:r>
        <w:t xml:space="preserve"> and </w:t>
      </w:r>
      <w:r w:rsidR="00F8266D">
        <w:t xml:space="preserve">the European Commission (MSCA Doctoral training network TargetRNA, </w:t>
      </w:r>
      <w:r w:rsidR="00F8266D" w:rsidRPr="00F8266D">
        <w:t>101168667</w:t>
      </w:r>
      <w:r w:rsidR="00F8266D">
        <w:t>).</w:t>
      </w:r>
    </w:p>
    <w:sectPr w:rsidR="00942330">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5FF87" w14:textId="77777777" w:rsidR="00F8266D" w:rsidRDefault="00F8266D">
      <w:pPr>
        <w:spacing w:after="0"/>
      </w:pPr>
      <w:r>
        <w:separator/>
      </w:r>
    </w:p>
  </w:endnote>
  <w:endnote w:type="continuationSeparator" w:id="0">
    <w:p w14:paraId="10A27CBD" w14:textId="77777777" w:rsidR="00F8266D" w:rsidRDefault="00F826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MT">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933EC" w14:textId="77777777" w:rsidR="00942330" w:rsidRDefault="00F8266D">
    <w:pPr>
      <w:pStyle w:val="Footer"/>
    </w:pPr>
    <w:r>
      <w:t>Acta Cryst. (2025). A81, e1</w:t>
    </w:r>
  </w:p>
  <w:p w14:paraId="0FF9D44E" w14:textId="77777777" w:rsidR="00942330" w:rsidRDefault="00942330">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06068" w14:textId="77777777" w:rsidR="00F8266D" w:rsidRDefault="00F8266D">
      <w:pPr>
        <w:spacing w:after="0"/>
      </w:pPr>
      <w:r>
        <w:separator/>
      </w:r>
    </w:p>
  </w:footnote>
  <w:footnote w:type="continuationSeparator" w:id="0">
    <w:p w14:paraId="1E3E83F2" w14:textId="77777777" w:rsidR="00F8266D" w:rsidRDefault="00F826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6EB34" w14:textId="77777777" w:rsidR="00942330" w:rsidRDefault="00F8266D">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30"/>
    <w:rsid w:val="00222FEF"/>
    <w:rsid w:val="00782146"/>
    <w:rsid w:val="00942330"/>
    <w:rsid w:val="009C1D9C"/>
    <w:rsid w:val="00BD11FE"/>
    <w:rsid w:val="00F8266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FCE298"/>
  <w15:docId w15:val="{B38E483F-FACD-4D2B-8D6C-BF9A62F9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D11FE"/>
    <w:pPr>
      <w:tabs>
        <w:tab w:val="left" w:pos="384"/>
      </w:tabs>
      <w:spacing w:after="0"/>
      <w:ind w:left="384" w:hanging="384"/>
    </w:pPr>
  </w:style>
  <w:style w:type="character" w:styleId="Hyperlink">
    <w:name w:val="Hyperlink"/>
    <w:basedOn w:val="DefaultParagraphFont"/>
    <w:uiPriority w:val="99"/>
    <w:unhideWhenUsed/>
    <w:rsid w:val="009C1D9C"/>
    <w:rPr>
      <w:color w:val="0563C1" w:themeColor="hyperlink"/>
      <w:u w:val="single"/>
    </w:rPr>
  </w:style>
  <w:style w:type="character" w:styleId="UnresolvedMention">
    <w:name w:val="Unresolved Mention"/>
    <w:basedOn w:val="DefaultParagraphFont"/>
    <w:uiPriority w:val="99"/>
    <w:semiHidden/>
    <w:unhideWhenUsed/>
    <w:rsid w:val="009C1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Ruth Brenk</cp:lastModifiedBy>
  <cp:revision>2</cp:revision>
  <dcterms:created xsi:type="dcterms:W3CDTF">2025-06-27T14:56:00Z</dcterms:created>
  <dcterms:modified xsi:type="dcterms:W3CDTF">2025-06-27T14:56:00Z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ZOTERO_PREF_1">
    <vt:lpwstr>&lt;data data-version="3" zotero-version="6.0.36"&gt;&lt;session id="eGQDJGR5"/&gt;&lt;style id="http://www.zotero.org/styles/computing-surveys" hasBibliography="1" bibliographyStyleHasBeenSet="1"/&gt;&lt;prefs&gt;&lt;pref name="fieldType" value="Field"/&gt;&lt;pref name="automaticJourna</vt:lpwstr>
  </property>
  <property fmtid="{D5CDD505-2E9C-101B-9397-08002B2CF9AE}" pid="7" name="ZOTERO_PREF_2">
    <vt:lpwstr>lAbbreviations" value="true"/&gt;&lt;/prefs&gt;&lt;/data&gt;</vt:lpwstr>
  </property>
</Properties>
</file>