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613B6" w14:textId="25CEBFBC" w:rsidR="00112FE4" w:rsidRDefault="00112FE4">
      <w:pPr>
        <w:pStyle w:val="Nagwek2"/>
        <w:rPr>
          <w:iCs w:val="0"/>
          <w:kern w:val="2"/>
          <w:sz w:val="24"/>
          <w:szCs w:val="32"/>
        </w:rPr>
      </w:pPr>
      <w:r w:rsidRPr="00112FE4">
        <w:rPr>
          <w:iCs w:val="0"/>
          <w:kern w:val="2"/>
          <w:sz w:val="24"/>
          <w:szCs w:val="32"/>
        </w:rPr>
        <w:t xml:space="preserve">Design and </w:t>
      </w:r>
      <w:r>
        <w:rPr>
          <w:iCs w:val="0"/>
          <w:kern w:val="2"/>
          <w:sz w:val="24"/>
          <w:szCs w:val="32"/>
        </w:rPr>
        <w:t>c</w:t>
      </w:r>
      <w:r w:rsidRPr="00112FE4">
        <w:rPr>
          <w:iCs w:val="0"/>
          <w:kern w:val="2"/>
          <w:sz w:val="24"/>
          <w:szCs w:val="32"/>
        </w:rPr>
        <w:t xml:space="preserve">haracterization of </w:t>
      </w:r>
      <w:r>
        <w:rPr>
          <w:iCs w:val="0"/>
          <w:kern w:val="2"/>
          <w:sz w:val="24"/>
          <w:szCs w:val="32"/>
        </w:rPr>
        <w:t>m</w:t>
      </w:r>
      <w:r w:rsidRPr="00112FE4">
        <w:rPr>
          <w:iCs w:val="0"/>
          <w:kern w:val="2"/>
          <w:sz w:val="24"/>
          <w:szCs w:val="32"/>
        </w:rPr>
        <w:t xml:space="preserve">ulticomponent </w:t>
      </w:r>
      <w:r>
        <w:rPr>
          <w:iCs w:val="0"/>
          <w:kern w:val="2"/>
          <w:sz w:val="24"/>
          <w:szCs w:val="32"/>
        </w:rPr>
        <w:t>form</w:t>
      </w:r>
      <w:r w:rsidR="008C18D7">
        <w:rPr>
          <w:iCs w:val="0"/>
          <w:kern w:val="2"/>
          <w:sz w:val="24"/>
          <w:szCs w:val="32"/>
        </w:rPr>
        <w:t>s</w:t>
      </w:r>
      <w:r>
        <w:rPr>
          <w:iCs w:val="0"/>
          <w:kern w:val="2"/>
          <w:sz w:val="24"/>
          <w:szCs w:val="32"/>
        </w:rPr>
        <w:t xml:space="preserve"> of m</w:t>
      </w:r>
      <w:r w:rsidRPr="00112FE4">
        <w:rPr>
          <w:iCs w:val="0"/>
          <w:kern w:val="2"/>
          <w:sz w:val="24"/>
          <w:szCs w:val="32"/>
        </w:rPr>
        <w:t>iconazole:</w:t>
      </w:r>
      <w:r>
        <w:rPr>
          <w:iCs w:val="0"/>
          <w:kern w:val="2"/>
          <w:sz w:val="24"/>
          <w:szCs w:val="32"/>
        </w:rPr>
        <w:t xml:space="preserve"> </w:t>
      </w:r>
      <w:r w:rsidR="006879B1">
        <w:rPr>
          <w:iCs w:val="0"/>
          <w:kern w:val="2"/>
          <w:sz w:val="24"/>
          <w:szCs w:val="32"/>
        </w:rPr>
        <w:br/>
      </w:r>
      <w:r>
        <w:rPr>
          <w:iCs w:val="0"/>
          <w:kern w:val="2"/>
          <w:sz w:val="24"/>
          <w:szCs w:val="32"/>
        </w:rPr>
        <w:t>s</w:t>
      </w:r>
      <w:r w:rsidRPr="00112FE4">
        <w:rPr>
          <w:iCs w:val="0"/>
          <w:kern w:val="2"/>
          <w:sz w:val="24"/>
          <w:szCs w:val="32"/>
        </w:rPr>
        <w:t xml:space="preserve">tructural, </w:t>
      </w:r>
      <w:r>
        <w:rPr>
          <w:iCs w:val="0"/>
          <w:kern w:val="2"/>
          <w:sz w:val="24"/>
          <w:szCs w:val="32"/>
        </w:rPr>
        <w:t>b</w:t>
      </w:r>
      <w:r w:rsidRPr="00112FE4">
        <w:rPr>
          <w:iCs w:val="0"/>
          <w:kern w:val="2"/>
          <w:sz w:val="24"/>
          <w:szCs w:val="32"/>
        </w:rPr>
        <w:t xml:space="preserve">iological, and </w:t>
      </w:r>
      <w:r>
        <w:rPr>
          <w:iCs w:val="0"/>
          <w:kern w:val="2"/>
          <w:sz w:val="24"/>
          <w:szCs w:val="32"/>
        </w:rPr>
        <w:t>s</w:t>
      </w:r>
      <w:r w:rsidRPr="00112FE4">
        <w:rPr>
          <w:iCs w:val="0"/>
          <w:kern w:val="2"/>
          <w:sz w:val="24"/>
          <w:szCs w:val="32"/>
        </w:rPr>
        <w:t xml:space="preserve">olubility </w:t>
      </w:r>
      <w:r>
        <w:rPr>
          <w:iCs w:val="0"/>
          <w:kern w:val="2"/>
          <w:sz w:val="24"/>
          <w:szCs w:val="32"/>
        </w:rPr>
        <w:t>s</w:t>
      </w:r>
      <w:r w:rsidRPr="00112FE4">
        <w:rPr>
          <w:iCs w:val="0"/>
          <w:kern w:val="2"/>
          <w:sz w:val="24"/>
          <w:szCs w:val="32"/>
        </w:rPr>
        <w:t>tudies</w:t>
      </w:r>
    </w:p>
    <w:p w14:paraId="70A5BB32" w14:textId="3D2861C0" w:rsidR="00EF1821" w:rsidRPr="006D486F" w:rsidRDefault="0040786A">
      <w:pPr>
        <w:pStyle w:val="Nagwek2"/>
        <w:rPr>
          <w:lang w:val="en-US"/>
        </w:rPr>
      </w:pPr>
      <w:r w:rsidRPr="006D486F">
        <w:rPr>
          <w:lang w:val="en-US"/>
        </w:rPr>
        <w:t>A. Ben</w:t>
      </w:r>
      <w:r w:rsidRPr="006D486F">
        <w:rPr>
          <w:vertAlign w:val="superscript"/>
          <w:lang w:val="en-US"/>
        </w:rPr>
        <w:t>1,2</w:t>
      </w:r>
      <w:r w:rsidRPr="006D486F">
        <w:rPr>
          <w:lang w:val="en-US"/>
        </w:rPr>
        <w:t>,</w:t>
      </w:r>
      <w:r w:rsidR="00632769" w:rsidRPr="006D486F">
        <w:rPr>
          <w:lang w:val="en-US"/>
        </w:rPr>
        <w:t xml:space="preserve"> </w:t>
      </w:r>
      <w:r w:rsidRPr="006D486F">
        <w:rPr>
          <w:lang w:val="en-US"/>
        </w:rPr>
        <w:t>L. Chęcińska</w:t>
      </w:r>
      <w:r w:rsidRPr="006D486F">
        <w:rPr>
          <w:vertAlign w:val="superscript"/>
          <w:lang w:val="en-US"/>
        </w:rPr>
        <w:t>1</w:t>
      </w:r>
    </w:p>
    <w:p w14:paraId="210B4F8C" w14:textId="3E14E9A9" w:rsidR="00EF1821" w:rsidRDefault="00000000" w:rsidP="00632769">
      <w:pPr>
        <w:pStyle w:val="Nagwek3"/>
      </w:pPr>
      <w:r w:rsidRPr="00773D9E">
        <w:rPr>
          <w:vertAlign w:val="superscript"/>
        </w:rPr>
        <w:t>1</w:t>
      </w:r>
      <w:r w:rsidR="0040786A" w:rsidRPr="00773D9E">
        <w:t xml:space="preserve"> Faculty of Chemistry, University of Lodz, Pomorska 163/165, 90-236 Lodz, Poland, </w:t>
      </w:r>
      <w:r w:rsidR="0040786A" w:rsidRPr="00773D9E">
        <w:rPr>
          <w:vertAlign w:val="superscript"/>
        </w:rPr>
        <w:t xml:space="preserve">2 </w:t>
      </w:r>
      <w:r w:rsidR="0040786A" w:rsidRPr="00773D9E">
        <w:t xml:space="preserve">University of Lodz Doctoral School of Exact and Natural Sciences, </w:t>
      </w:r>
      <w:proofErr w:type="spellStart"/>
      <w:r w:rsidR="0040786A" w:rsidRPr="00773D9E">
        <w:t>Narutowicza</w:t>
      </w:r>
      <w:proofErr w:type="spellEnd"/>
      <w:r w:rsidR="0040786A" w:rsidRPr="00773D9E">
        <w:t xml:space="preserve"> 68, 901-136 Lodz, Poland</w:t>
      </w:r>
    </w:p>
    <w:p w14:paraId="49F7745E" w14:textId="17C26EEE" w:rsidR="00EF1821" w:rsidRDefault="0040786A">
      <w:pPr>
        <w:pStyle w:val="Nagwek3"/>
        <w:rPr>
          <w:sz w:val="18"/>
          <w:szCs w:val="18"/>
        </w:rPr>
      </w:pPr>
      <w:r>
        <w:t>anna.ben@edu.uni.lodz.pl</w:t>
      </w:r>
      <w:r>
        <w:rPr>
          <w:lang w:eastAsia="de-DE"/>
        </w:rPr>
        <w:br/>
      </w:r>
    </w:p>
    <w:p w14:paraId="036713AE" w14:textId="1069A180" w:rsidR="008C18D7" w:rsidRDefault="008C18D7" w:rsidP="008C18D7">
      <w:r w:rsidRPr="00085AEC">
        <w:t xml:space="preserve">Fungal infections are </w:t>
      </w:r>
      <w:r w:rsidR="00F65F38">
        <w:t>among</w:t>
      </w:r>
      <w:r w:rsidRPr="00085AEC">
        <w:t xml:space="preserve"> the most common diseases in humans</w:t>
      </w:r>
      <w:r w:rsidR="00F65F38">
        <w:t xml:space="preserve">, </w:t>
      </w:r>
      <w:r w:rsidRPr="00085AEC">
        <w:t xml:space="preserve">with </w:t>
      </w:r>
      <w:r w:rsidR="00F65F38">
        <w:t>immuno</w:t>
      </w:r>
      <w:r w:rsidRPr="00085AEC">
        <w:t>compromised</w:t>
      </w:r>
      <w:r w:rsidR="00F65F38">
        <w:t xml:space="preserve"> individuals a</w:t>
      </w:r>
      <w:r w:rsidRPr="00E663C1">
        <w:t xml:space="preserve">t increased risk </w:t>
      </w:r>
      <w:r w:rsidR="006E17A2">
        <w:t>[1].</w:t>
      </w:r>
      <w:r w:rsidRPr="00E663C1">
        <w:t xml:space="preserve"> </w:t>
      </w:r>
      <w:r w:rsidR="00F65F38">
        <w:t xml:space="preserve">Although </w:t>
      </w:r>
      <w:r w:rsidR="00E35BE4">
        <w:t>typically</w:t>
      </w:r>
      <w:r w:rsidRPr="00E663C1">
        <w:t xml:space="preserve"> superficial, </w:t>
      </w:r>
      <w:r w:rsidR="00E35BE4">
        <w:t>these infections can p</w:t>
      </w:r>
      <w:r w:rsidRPr="00085AEC">
        <w:t>rogress</w:t>
      </w:r>
      <w:r w:rsidR="00E35BE4">
        <w:t xml:space="preserve"> into systemic forms</w:t>
      </w:r>
      <w:r>
        <w:t xml:space="preserve"> [</w:t>
      </w:r>
      <w:r w:rsidR="006E17A2">
        <w:t>2</w:t>
      </w:r>
      <w:r>
        <w:t>].</w:t>
      </w:r>
      <w:r w:rsidRPr="00085AEC">
        <w:t xml:space="preserve"> </w:t>
      </w:r>
      <w:r w:rsidRPr="00F65F38">
        <w:rPr>
          <w:i/>
          <w:iCs/>
        </w:rPr>
        <w:t>Candida</w:t>
      </w:r>
      <w:r w:rsidRPr="00085AEC">
        <w:t xml:space="preserve"> </w:t>
      </w:r>
      <w:r w:rsidR="00E35BE4">
        <w:t xml:space="preserve">species and other </w:t>
      </w:r>
      <w:r w:rsidRPr="00085AEC">
        <w:t xml:space="preserve">opportunistic fungi pose </w:t>
      </w:r>
      <w:r w:rsidR="00E35BE4">
        <w:t xml:space="preserve">a significant global health threat due to the severity of the </w:t>
      </w:r>
      <w:r w:rsidRPr="00085AEC">
        <w:t>disease</w:t>
      </w:r>
      <w:r w:rsidR="00E35BE4">
        <w:t>s they cause</w:t>
      </w:r>
      <w:r>
        <w:t xml:space="preserve"> [</w:t>
      </w:r>
      <w:r w:rsidR="006E17A2">
        <w:t>3</w:t>
      </w:r>
      <w:r>
        <w:t>]</w:t>
      </w:r>
      <w:r w:rsidRPr="00085AEC">
        <w:t>. Th</w:t>
      </w:r>
      <w:r w:rsidR="00FA7003">
        <w:t>erefore</w:t>
      </w:r>
      <w:r w:rsidRPr="00085AEC">
        <w:t xml:space="preserve">, the development of </w:t>
      </w:r>
      <w:r w:rsidR="00FA7003">
        <w:t xml:space="preserve">effective </w:t>
      </w:r>
      <w:r w:rsidRPr="00085AEC">
        <w:t>antifungal drugs is</w:t>
      </w:r>
      <w:r w:rsidR="00FA7003">
        <w:t xml:space="preserve"> </w:t>
      </w:r>
      <w:r w:rsidR="00F65F38">
        <w:t>essential</w:t>
      </w:r>
      <w:r w:rsidR="00FA7003">
        <w:t xml:space="preserve">. However, this </w:t>
      </w:r>
      <w:r w:rsidR="00F65F38">
        <w:t>remains c</w:t>
      </w:r>
      <w:r w:rsidRPr="00085AEC">
        <w:t xml:space="preserve">hallenging due to the </w:t>
      </w:r>
      <w:r w:rsidR="00FA7003">
        <w:t>poor</w:t>
      </w:r>
      <w:r w:rsidRPr="00085AEC">
        <w:t xml:space="preserve"> </w:t>
      </w:r>
      <w:r>
        <w:t xml:space="preserve">water </w:t>
      </w:r>
      <w:r w:rsidRPr="00085AEC">
        <w:t xml:space="preserve">solubility of </w:t>
      </w:r>
      <w:r w:rsidR="00FA7003">
        <w:t xml:space="preserve">many </w:t>
      </w:r>
      <w:r w:rsidRPr="00085AEC">
        <w:t>active</w:t>
      </w:r>
      <w:r w:rsidR="00FA7003">
        <w:t xml:space="preserve"> pharmaceutical ingredients, which is closely </w:t>
      </w:r>
      <w:r w:rsidR="00F65F38">
        <w:t>linked</w:t>
      </w:r>
      <w:r w:rsidRPr="00085AEC">
        <w:t xml:space="preserve"> to </w:t>
      </w:r>
      <w:r w:rsidR="00FA7003">
        <w:t xml:space="preserve">limited </w:t>
      </w:r>
      <w:r w:rsidRPr="00085AEC">
        <w:t xml:space="preserve">bioavailability, </w:t>
      </w:r>
      <w:r w:rsidR="00FA7003">
        <w:t xml:space="preserve">reduced </w:t>
      </w:r>
      <w:r w:rsidRPr="00085AEC">
        <w:t xml:space="preserve">stability, and </w:t>
      </w:r>
      <w:r w:rsidR="00F65F38">
        <w:t>difficulties</w:t>
      </w:r>
      <w:r w:rsidR="00FA7003">
        <w:t xml:space="preserve"> in the </w:t>
      </w:r>
      <w:r w:rsidRPr="00085AEC">
        <w:t>tableting process.</w:t>
      </w:r>
    </w:p>
    <w:p w14:paraId="3573169A" w14:textId="31036E89" w:rsidR="00493763" w:rsidRPr="00773D9E" w:rsidRDefault="00493763" w:rsidP="00FE5517">
      <w:r w:rsidRPr="00773D9E">
        <w:t xml:space="preserve">Multicomponent crystalline forms, including cocrystals, molecular salts, and their mixtures, offer a promising </w:t>
      </w:r>
      <w:r w:rsidR="00FA7003">
        <w:t>strategy</w:t>
      </w:r>
      <w:r w:rsidRPr="00773D9E">
        <w:t xml:space="preserve"> to</w:t>
      </w:r>
      <w:r w:rsidR="00FA7003">
        <w:t xml:space="preserve"> enhance</w:t>
      </w:r>
      <w:r w:rsidRPr="00773D9E">
        <w:t xml:space="preserve"> the dissolution behavio</w:t>
      </w:r>
      <w:r w:rsidR="008C18D7">
        <w:t>u</w:t>
      </w:r>
      <w:r w:rsidRPr="00773D9E">
        <w:t>r of poorly soluble drugs</w:t>
      </w:r>
      <w:r w:rsidR="00773D9E" w:rsidRPr="00773D9E">
        <w:t xml:space="preserve"> [</w:t>
      </w:r>
      <w:r w:rsidR="006E17A2">
        <w:t>4</w:t>
      </w:r>
      <w:r w:rsidR="00773D9E" w:rsidRPr="00773D9E">
        <w:t>]</w:t>
      </w:r>
      <w:r w:rsidRPr="00773D9E">
        <w:t xml:space="preserve">. </w:t>
      </w:r>
      <w:r w:rsidR="008C18D7" w:rsidRPr="00085AEC">
        <w:t xml:space="preserve">These modifications </w:t>
      </w:r>
      <w:r w:rsidR="00FA7003">
        <w:t xml:space="preserve">enable tuning </w:t>
      </w:r>
      <w:r w:rsidR="008C18D7" w:rsidRPr="00085AEC">
        <w:t xml:space="preserve">of </w:t>
      </w:r>
      <w:r w:rsidR="00F65F38">
        <w:t xml:space="preserve">the </w:t>
      </w:r>
      <w:r w:rsidR="008C18D7" w:rsidRPr="00085AEC">
        <w:t xml:space="preserve">physicochemical and pharmacokinetic properties </w:t>
      </w:r>
      <w:r w:rsidR="00FA7003">
        <w:t xml:space="preserve">without altering the molecular structure of the </w:t>
      </w:r>
      <w:r w:rsidR="008C18D7" w:rsidRPr="00085AEC">
        <w:t xml:space="preserve">active substance, </w:t>
      </w:r>
      <w:r w:rsidR="00FA7003">
        <w:t xml:space="preserve">potentially even </w:t>
      </w:r>
      <w:r w:rsidR="008C18D7" w:rsidRPr="00085AEC">
        <w:t>enhanc</w:t>
      </w:r>
      <w:r w:rsidR="00FA7003">
        <w:t>ing its therapeutic effect</w:t>
      </w:r>
      <w:r w:rsidR="008C18D7" w:rsidRPr="00085AEC">
        <w:t>.</w:t>
      </w:r>
    </w:p>
    <w:p w14:paraId="41D38C89" w14:textId="1968FEED" w:rsidR="000E0E7B" w:rsidRPr="004E4D7B" w:rsidRDefault="006E17A2" w:rsidP="004E4D7B">
      <w:r w:rsidRPr="00773D9E">
        <w:t>M</w:t>
      </w:r>
      <w:r>
        <w:t>iconazole</w:t>
      </w:r>
      <w:r w:rsidR="00FA7003">
        <w:t xml:space="preserve">, a </w:t>
      </w:r>
      <w:r w:rsidRPr="00773D9E">
        <w:t xml:space="preserve">well-known </w:t>
      </w:r>
      <w:r w:rsidR="00FA7003">
        <w:t xml:space="preserve">imidazole-class </w:t>
      </w:r>
      <w:r w:rsidRPr="00773D9E">
        <w:t xml:space="preserve">antifungal drug </w:t>
      </w:r>
      <w:r w:rsidR="00FA7003">
        <w:t>effective against various</w:t>
      </w:r>
      <w:r w:rsidRPr="00773D9E">
        <w:t xml:space="preserve"> </w:t>
      </w:r>
      <w:r w:rsidRPr="00773D9E">
        <w:rPr>
          <w:i/>
          <w:iCs/>
        </w:rPr>
        <w:t xml:space="preserve">Candida </w:t>
      </w:r>
      <w:r w:rsidRPr="00E35BE4">
        <w:t>species</w:t>
      </w:r>
      <w:r w:rsidRPr="00773D9E">
        <w:t xml:space="preserve"> [</w:t>
      </w:r>
      <w:r w:rsidR="006D486F">
        <w:t>5</w:t>
      </w:r>
      <w:r w:rsidRPr="00773D9E">
        <w:t xml:space="preserve">], </w:t>
      </w:r>
      <w:r w:rsidR="00F65F38">
        <w:t xml:space="preserve">but </w:t>
      </w:r>
      <w:r w:rsidR="00E35BE4">
        <w:t>suffers from</w:t>
      </w:r>
      <w:r w:rsidRPr="00773D9E">
        <w:t xml:space="preserve"> limited solubility. Th</w:t>
      </w:r>
      <w:r w:rsidR="00E35BE4">
        <w:t>is</w:t>
      </w:r>
      <w:r w:rsidRPr="00773D9E">
        <w:t xml:space="preserve"> p</w:t>
      </w:r>
      <w:r>
        <w:t xml:space="preserve">roject </w:t>
      </w:r>
      <w:r w:rsidR="00F65F38">
        <w:t>investigates</w:t>
      </w:r>
      <w:r w:rsidR="00E35BE4">
        <w:t xml:space="preserve"> new</w:t>
      </w:r>
      <w:r w:rsidRPr="00773D9E">
        <w:t xml:space="preserve"> multicomponent forms of miconazole</w:t>
      </w:r>
      <w:r w:rsidR="00825AD7">
        <w:t xml:space="preserve"> </w:t>
      </w:r>
      <w:r w:rsidR="00E35BE4">
        <w:t xml:space="preserve">using </w:t>
      </w:r>
      <w:proofErr w:type="spellStart"/>
      <w:r w:rsidR="00FB598B">
        <w:t>coformers</w:t>
      </w:r>
      <w:proofErr w:type="spellEnd"/>
      <w:r w:rsidR="0025099F">
        <w:t xml:space="preserve"> </w:t>
      </w:r>
      <w:r w:rsidR="00E35BE4">
        <w:t xml:space="preserve">such as </w:t>
      </w:r>
      <w:r w:rsidR="0025099F">
        <w:t>benzoic and salicylic acids</w:t>
      </w:r>
      <w:r w:rsidR="00F65F38">
        <w:t xml:space="preserve"> </w:t>
      </w:r>
      <w:r w:rsidR="00F65F38" w:rsidRPr="00E11CD7">
        <w:t>de</w:t>
      </w:r>
      <w:r w:rsidR="00B15FD1" w:rsidRPr="00E11CD7">
        <w:t>r</w:t>
      </w:r>
      <w:r w:rsidR="00F65F38" w:rsidRPr="00E11CD7">
        <w:t>ivatives</w:t>
      </w:r>
      <w:r w:rsidR="00825AD7" w:rsidRPr="00E11CD7">
        <w:t>,</w:t>
      </w:r>
      <w:r w:rsidR="0025099F" w:rsidRPr="00E11CD7">
        <w:t xml:space="preserve"> </w:t>
      </w:r>
      <w:r w:rsidR="00E35BE4" w:rsidRPr="00E11CD7">
        <w:t xml:space="preserve">along with </w:t>
      </w:r>
      <w:r w:rsidR="0025099F" w:rsidRPr="00E11CD7">
        <w:t xml:space="preserve">selected heterocyclic </w:t>
      </w:r>
      <w:r w:rsidR="00825AD7" w:rsidRPr="00E11CD7">
        <w:t>carboxylic aci</w:t>
      </w:r>
      <w:r w:rsidR="00E35BE4" w:rsidRPr="00E11CD7">
        <w:t>ds.</w:t>
      </w:r>
      <w:r w:rsidR="00825AD7" w:rsidRPr="00E11CD7">
        <w:t xml:space="preserve"> </w:t>
      </w:r>
      <w:r w:rsidR="00632769" w:rsidRPr="00E11CD7">
        <w:t>The</w:t>
      </w:r>
      <w:r w:rsidR="00E35BE4" w:rsidRPr="00E11CD7">
        <w:t>se</w:t>
      </w:r>
      <w:r w:rsidR="00632769" w:rsidRPr="00E11CD7">
        <w:t xml:space="preserve"> new forms have been </w:t>
      </w:r>
      <w:r w:rsidR="00E35BE4" w:rsidRPr="00E11CD7">
        <w:t>characterized</w:t>
      </w:r>
      <w:r w:rsidR="00632769" w:rsidRPr="00E11CD7">
        <w:t xml:space="preserve"> using </w:t>
      </w:r>
      <w:r w:rsidR="00E35BE4" w:rsidRPr="00E11CD7">
        <w:t xml:space="preserve">single-crystal </w:t>
      </w:r>
      <w:r w:rsidR="00632769" w:rsidRPr="00E11CD7">
        <w:t xml:space="preserve">X-ray diffraction. </w:t>
      </w:r>
      <w:r w:rsidR="00825AD7" w:rsidRPr="00E11CD7">
        <w:t>The</w:t>
      </w:r>
      <w:r w:rsidR="00825AD7">
        <w:t xml:space="preserve"> </w:t>
      </w:r>
      <w:r w:rsidR="00E35BE4">
        <w:t xml:space="preserve">relationships between their </w:t>
      </w:r>
      <w:r w:rsidR="00825AD7">
        <w:t>b</w:t>
      </w:r>
      <w:r w:rsidR="00493763" w:rsidRPr="00773D9E">
        <w:t xml:space="preserve">iological </w:t>
      </w:r>
      <w:r w:rsidR="00825AD7">
        <w:t>activity</w:t>
      </w:r>
      <w:r w:rsidR="00E35BE4">
        <w:t xml:space="preserve"> and</w:t>
      </w:r>
      <w:r w:rsidR="00493763" w:rsidRPr="00773D9E">
        <w:t xml:space="preserve"> physicochemical </w:t>
      </w:r>
      <w:r w:rsidR="00825AD7">
        <w:t>properties</w:t>
      </w:r>
      <w:r w:rsidR="00493763" w:rsidRPr="00773D9E">
        <w:t xml:space="preserve">, </w:t>
      </w:r>
      <w:r w:rsidR="00E35BE4">
        <w:t>particularly</w:t>
      </w:r>
      <w:r w:rsidR="00493763" w:rsidRPr="00773D9E">
        <w:t xml:space="preserve"> solubility </w:t>
      </w:r>
      <w:r w:rsidR="00825AD7">
        <w:t>profiles</w:t>
      </w:r>
      <w:r w:rsidR="00493763" w:rsidRPr="00773D9E">
        <w:t>, will be discussed</w:t>
      </w:r>
      <w:r w:rsidRPr="004E4D7B">
        <w:t>.</w:t>
      </w:r>
      <w:r w:rsidR="0025099F" w:rsidRPr="004E4D7B">
        <w:t xml:space="preserve"> </w:t>
      </w:r>
      <w:r w:rsidR="00E35BE4">
        <w:t>Additionally,</w:t>
      </w:r>
      <w:r w:rsidR="00825AD7" w:rsidRPr="004E4D7B">
        <w:t xml:space="preserve"> pyridine-(2,</w:t>
      </w:r>
      <w:r w:rsidR="00825AD7" w:rsidRPr="004E4D7B">
        <w:rPr>
          <w:i/>
          <w:iCs/>
        </w:rPr>
        <w:t>n</w:t>
      </w:r>
      <w:r w:rsidR="00825AD7" w:rsidRPr="004E4D7B">
        <w:t>)-dicarboxylic acids (</w:t>
      </w:r>
      <w:r w:rsidR="00825AD7" w:rsidRPr="004E4D7B">
        <w:rPr>
          <w:i/>
          <w:iCs/>
        </w:rPr>
        <w:t>n</w:t>
      </w:r>
      <w:r w:rsidR="00825AD7" w:rsidRPr="004E4D7B">
        <w:t xml:space="preserve">=3,4,5,6) have been also </w:t>
      </w:r>
      <w:r w:rsidR="00E35BE4">
        <w:t xml:space="preserve">employed </w:t>
      </w:r>
      <w:r w:rsidR="00825AD7" w:rsidRPr="004E4D7B">
        <w:t xml:space="preserve">as </w:t>
      </w:r>
      <w:proofErr w:type="spellStart"/>
      <w:r w:rsidR="00825AD7" w:rsidRPr="004E4D7B">
        <w:t>coformers</w:t>
      </w:r>
      <w:proofErr w:type="spellEnd"/>
      <w:r w:rsidR="00825AD7" w:rsidRPr="004E4D7B">
        <w:t>,</w:t>
      </w:r>
      <w:r w:rsidR="00E35BE4">
        <w:t xml:space="preserve"> as</w:t>
      </w:r>
      <w:r w:rsidR="004E4D7B" w:rsidRPr="004E4D7B">
        <w:t xml:space="preserve"> they </w:t>
      </w:r>
      <w:r w:rsidR="00E35BE4">
        <w:t>are effective</w:t>
      </w:r>
      <w:r w:rsidR="004E4D7B" w:rsidRPr="004E4D7B">
        <w:t xml:space="preserve"> </w:t>
      </w:r>
      <w:proofErr w:type="spellStart"/>
      <w:r w:rsidR="004E4D7B" w:rsidRPr="004E4D7B">
        <w:t>cocrystallizing</w:t>
      </w:r>
      <w:proofErr w:type="spellEnd"/>
      <w:r w:rsidR="004E4D7B" w:rsidRPr="004E4D7B">
        <w:t xml:space="preserve"> agents </w:t>
      </w:r>
      <w:r w:rsidR="00E35BE4">
        <w:t xml:space="preserve">that can improve the performance of </w:t>
      </w:r>
      <w:r w:rsidR="004E4D7B" w:rsidRPr="004E4D7B">
        <w:t>pharmaceutical ingredients</w:t>
      </w:r>
      <w:r w:rsidR="004E4D7B">
        <w:t xml:space="preserve"> [</w:t>
      </w:r>
      <w:r w:rsidR="006D486F">
        <w:t>6</w:t>
      </w:r>
      <w:r w:rsidR="004E4D7B">
        <w:t xml:space="preserve">]. </w:t>
      </w:r>
      <w:r w:rsidR="00E35BE4">
        <w:t>Notably</w:t>
      </w:r>
      <w:r w:rsidR="004E4D7B">
        <w:t xml:space="preserve">, </w:t>
      </w:r>
      <w:proofErr w:type="spellStart"/>
      <w:r w:rsidR="004E4D7B" w:rsidRPr="004E4D7B">
        <w:t>pyridinedicarboxylic</w:t>
      </w:r>
      <w:proofErr w:type="spellEnd"/>
      <w:r w:rsidR="004E4D7B" w:rsidRPr="004E4D7B">
        <w:t xml:space="preserve"> acid</w:t>
      </w:r>
      <w:r w:rsidR="004E4D7B">
        <w:t xml:space="preserve"> molecules tend to form unique </w:t>
      </w:r>
      <w:r w:rsidR="004E4D7B" w:rsidRPr="00CB4A53">
        <w:t>chain substructures</w:t>
      </w:r>
      <w:r w:rsidR="00E35BE4">
        <w:t xml:space="preserve">, which </w:t>
      </w:r>
      <w:r w:rsidR="00F65F38">
        <w:t>are recognized</w:t>
      </w:r>
      <w:r w:rsidR="00E35BE4">
        <w:t xml:space="preserve"> as </w:t>
      </w:r>
      <w:r w:rsidR="004E4D7B" w:rsidRPr="00CB4A53">
        <w:t xml:space="preserve">favourable motifs in the supramolecular architectures of </w:t>
      </w:r>
      <w:r w:rsidR="00E35BE4">
        <w:t>miconazole-based</w:t>
      </w:r>
      <w:r w:rsidR="004E4D7B" w:rsidRPr="00CB4A53">
        <w:t xml:space="preserve"> </w:t>
      </w:r>
      <w:r w:rsidR="00E35BE4">
        <w:t xml:space="preserve">multicomponent </w:t>
      </w:r>
      <w:r w:rsidR="004E4D7B" w:rsidRPr="00CB4A53">
        <w:t>crystals</w:t>
      </w:r>
      <w:r w:rsidR="004E4D7B">
        <w:t xml:space="preserve"> [</w:t>
      </w:r>
      <w:r w:rsidR="006D486F">
        <w:t>7</w:t>
      </w:r>
      <w:r w:rsidR="004E4D7B">
        <w:t>].</w:t>
      </w:r>
    </w:p>
    <w:p w14:paraId="56C69BDB" w14:textId="27EB8E94" w:rsidR="00EF1821" w:rsidRDefault="0004227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780DC5" wp14:editId="6E0A65D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525689037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D6040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</w:p>
    <w:p w14:paraId="2CD245EE" w14:textId="080F446D" w:rsidR="00EF1821" w:rsidRPr="00B15FD1" w:rsidRDefault="006D486F">
      <w:pPr>
        <w:rPr>
          <w:sz w:val="18"/>
          <w:szCs w:val="18"/>
          <w:lang w:val="en-US" w:eastAsia="cs-CZ"/>
        </w:rPr>
      </w:pPr>
      <w:r w:rsidRPr="00B15FD1">
        <w:rPr>
          <w:sz w:val="18"/>
          <w:szCs w:val="18"/>
          <w:lang w:val="en-US" w:eastAsia="cs-CZ"/>
        </w:rPr>
        <w:t>[1] Shapiro, R. S., Robbins, N. &amp; Cowen</w:t>
      </w:r>
      <w:r w:rsidR="002723E7" w:rsidRPr="00B15FD1">
        <w:rPr>
          <w:sz w:val="18"/>
          <w:szCs w:val="18"/>
          <w:lang w:val="en-US" w:eastAsia="cs-CZ"/>
        </w:rPr>
        <w:t>,</w:t>
      </w:r>
      <w:r w:rsidRPr="00B15FD1">
        <w:rPr>
          <w:sz w:val="18"/>
          <w:szCs w:val="18"/>
          <w:lang w:val="en-US" w:eastAsia="cs-CZ"/>
        </w:rPr>
        <w:t xml:space="preserve"> L. E. (2011). </w:t>
      </w:r>
      <w:proofErr w:type="spellStart"/>
      <w:r w:rsidRPr="00B15FD1">
        <w:rPr>
          <w:i/>
          <w:iCs/>
          <w:sz w:val="18"/>
          <w:szCs w:val="18"/>
          <w:lang w:val="en-US" w:eastAsia="cs-CZ"/>
        </w:rPr>
        <w:t>Microbiol</w:t>
      </w:r>
      <w:proofErr w:type="spellEnd"/>
      <w:r w:rsidRPr="00B15FD1">
        <w:rPr>
          <w:i/>
          <w:iCs/>
          <w:sz w:val="18"/>
          <w:szCs w:val="18"/>
          <w:lang w:val="en-US" w:eastAsia="cs-CZ"/>
        </w:rPr>
        <w:t>. Mol. Biol. Rev</w:t>
      </w:r>
      <w:r w:rsidRPr="00B15FD1">
        <w:rPr>
          <w:sz w:val="18"/>
          <w:szCs w:val="18"/>
          <w:lang w:val="en-US" w:eastAsia="cs-CZ"/>
        </w:rPr>
        <w:t xml:space="preserve">. </w:t>
      </w:r>
      <w:r w:rsidRPr="00B15FD1">
        <w:rPr>
          <w:b/>
          <w:bCs/>
          <w:sz w:val="18"/>
          <w:szCs w:val="18"/>
          <w:lang w:val="en-US" w:eastAsia="cs-CZ"/>
        </w:rPr>
        <w:t>75</w:t>
      </w:r>
      <w:r w:rsidRPr="00B15FD1">
        <w:rPr>
          <w:sz w:val="18"/>
          <w:szCs w:val="18"/>
          <w:lang w:val="en-US" w:eastAsia="cs-CZ"/>
        </w:rPr>
        <w:t>, 213–267.</w:t>
      </w:r>
    </w:p>
    <w:p w14:paraId="5A839140" w14:textId="36B9917D" w:rsidR="006D486F" w:rsidRPr="00B15FD1" w:rsidRDefault="006D486F">
      <w:pPr>
        <w:rPr>
          <w:sz w:val="18"/>
          <w:szCs w:val="18"/>
          <w:lang w:val="en-US" w:eastAsia="cs-CZ"/>
        </w:rPr>
      </w:pPr>
      <w:r w:rsidRPr="00B15FD1">
        <w:rPr>
          <w:sz w:val="18"/>
          <w:szCs w:val="18"/>
          <w:lang w:val="en-US" w:eastAsia="cs-CZ"/>
        </w:rPr>
        <w:t xml:space="preserve">[2] Cannon, R. D., Lamping, E., Holmes, A. R., Niimi, K., Baret, P. V., Keniya, M. V., Tanabe, K., Niimi, M., </w:t>
      </w:r>
      <w:proofErr w:type="spellStart"/>
      <w:r w:rsidRPr="00B15FD1">
        <w:rPr>
          <w:sz w:val="18"/>
          <w:szCs w:val="18"/>
          <w:lang w:val="en-US" w:eastAsia="cs-CZ"/>
        </w:rPr>
        <w:t>Goffeau</w:t>
      </w:r>
      <w:proofErr w:type="spellEnd"/>
      <w:r w:rsidRPr="00B15FD1">
        <w:rPr>
          <w:sz w:val="18"/>
          <w:szCs w:val="18"/>
          <w:lang w:val="en-US" w:eastAsia="cs-CZ"/>
        </w:rPr>
        <w:t xml:space="preserve">, </w:t>
      </w:r>
      <w:r w:rsidR="002723E7" w:rsidRPr="00B15FD1">
        <w:rPr>
          <w:sz w:val="18"/>
          <w:szCs w:val="18"/>
          <w:lang w:val="en-US" w:eastAsia="cs-CZ"/>
        </w:rPr>
        <w:t xml:space="preserve">A. &amp; </w:t>
      </w:r>
      <w:r w:rsidRPr="00B15FD1">
        <w:rPr>
          <w:sz w:val="18"/>
          <w:szCs w:val="18"/>
          <w:lang w:val="en-US" w:eastAsia="cs-CZ"/>
        </w:rPr>
        <w:t>Monk</w:t>
      </w:r>
      <w:r w:rsidR="002723E7" w:rsidRPr="00B15FD1">
        <w:rPr>
          <w:sz w:val="18"/>
          <w:szCs w:val="18"/>
          <w:lang w:val="en-US" w:eastAsia="cs-CZ"/>
        </w:rPr>
        <w:t>,</w:t>
      </w:r>
      <w:r w:rsidRPr="00B15FD1">
        <w:rPr>
          <w:sz w:val="18"/>
          <w:szCs w:val="18"/>
          <w:lang w:val="en-US" w:eastAsia="cs-CZ"/>
        </w:rPr>
        <w:t xml:space="preserve"> </w:t>
      </w:r>
      <w:r w:rsidR="002723E7" w:rsidRPr="00B15FD1">
        <w:rPr>
          <w:sz w:val="18"/>
          <w:szCs w:val="18"/>
          <w:lang w:val="en-US" w:eastAsia="cs-CZ"/>
        </w:rPr>
        <w:t xml:space="preserve">B. C. </w:t>
      </w:r>
      <w:r w:rsidRPr="00B15FD1">
        <w:rPr>
          <w:sz w:val="18"/>
          <w:szCs w:val="18"/>
          <w:lang w:val="en-US" w:eastAsia="cs-CZ"/>
        </w:rPr>
        <w:t xml:space="preserve">(2009). </w:t>
      </w:r>
      <w:r w:rsidRPr="00B15FD1">
        <w:rPr>
          <w:i/>
          <w:iCs/>
          <w:sz w:val="18"/>
          <w:szCs w:val="18"/>
          <w:lang w:val="en-US" w:eastAsia="cs-CZ"/>
        </w:rPr>
        <w:t xml:space="preserve">Clin. </w:t>
      </w:r>
      <w:proofErr w:type="spellStart"/>
      <w:r w:rsidRPr="00B15FD1">
        <w:rPr>
          <w:i/>
          <w:iCs/>
          <w:sz w:val="18"/>
          <w:szCs w:val="18"/>
          <w:lang w:val="en-US" w:eastAsia="cs-CZ"/>
        </w:rPr>
        <w:t>Microbiol</w:t>
      </w:r>
      <w:proofErr w:type="spellEnd"/>
      <w:r w:rsidRPr="00B15FD1">
        <w:rPr>
          <w:i/>
          <w:iCs/>
          <w:sz w:val="18"/>
          <w:szCs w:val="18"/>
          <w:lang w:val="en-US" w:eastAsia="cs-CZ"/>
        </w:rPr>
        <w:t>. Rev</w:t>
      </w:r>
      <w:r w:rsidRPr="00B15FD1">
        <w:rPr>
          <w:sz w:val="18"/>
          <w:szCs w:val="18"/>
          <w:lang w:val="en-US" w:eastAsia="cs-CZ"/>
        </w:rPr>
        <w:t xml:space="preserve">. </w:t>
      </w:r>
      <w:r w:rsidRPr="00B15FD1">
        <w:rPr>
          <w:b/>
          <w:bCs/>
          <w:sz w:val="18"/>
          <w:szCs w:val="18"/>
          <w:lang w:val="en-US" w:eastAsia="cs-CZ"/>
        </w:rPr>
        <w:t>22</w:t>
      </w:r>
      <w:r w:rsidRPr="00B15FD1">
        <w:rPr>
          <w:sz w:val="18"/>
          <w:szCs w:val="18"/>
          <w:lang w:val="en-US" w:eastAsia="cs-CZ"/>
        </w:rPr>
        <w:t>, 291–321.</w:t>
      </w:r>
    </w:p>
    <w:p w14:paraId="36938DE9" w14:textId="7976318D" w:rsidR="006D486F" w:rsidRPr="00B15FD1" w:rsidRDefault="006D486F">
      <w:pPr>
        <w:rPr>
          <w:sz w:val="18"/>
          <w:szCs w:val="18"/>
          <w:lang w:val="en-US" w:eastAsia="cs-CZ"/>
        </w:rPr>
      </w:pPr>
      <w:r w:rsidRPr="00B15FD1">
        <w:rPr>
          <w:sz w:val="18"/>
          <w:szCs w:val="18"/>
          <w:lang w:val="en-US" w:eastAsia="cs-CZ"/>
        </w:rPr>
        <w:t xml:space="preserve">[3] Brown, </w:t>
      </w:r>
      <w:r w:rsidR="002723E7" w:rsidRPr="00B15FD1">
        <w:rPr>
          <w:sz w:val="18"/>
          <w:szCs w:val="18"/>
          <w:lang w:val="en-US" w:eastAsia="cs-CZ"/>
        </w:rPr>
        <w:t xml:space="preserve">G. D., </w:t>
      </w:r>
      <w:r w:rsidRPr="00B15FD1">
        <w:rPr>
          <w:sz w:val="18"/>
          <w:szCs w:val="18"/>
          <w:lang w:val="en-US" w:eastAsia="cs-CZ"/>
        </w:rPr>
        <w:t xml:space="preserve">Denning, </w:t>
      </w:r>
      <w:r w:rsidR="002723E7" w:rsidRPr="00B15FD1">
        <w:rPr>
          <w:sz w:val="18"/>
          <w:szCs w:val="18"/>
          <w:lang w:val="en-US" w:eastAsia="cs-CZ"/>
        </w:rPr>
        <w:t xml:space="preserve">D. W., </w:t>
      </w:r>
      <w:r w:rsidRPr="00B15FD1">
        <w:rPr>
          <w:sz w:val="18"/>
          <w:szCs w:val="18"/>
          <w:lang w:val="en-US" w:eastAsia="cs-CZ"/>
        </w:rPr>
        <w:t xml:space="preserve">Gow, </w:t>
      </w:r>
      <w:r w:rsidR="002723E7" w:rsidRPr="00B15FD1">
        <w:rPr>
          <w:sz w:val="18"/>
          <w:szCs w:val="18"/>
          <w:lang w:val="en-US" w:eastAsia="cs-CZ"/>
        </w:rPr>
        <w:t xml:space="preserve">N. A., </w:t>
      </w:r>
      <w:r w:rsidRPr="00B15FD1">
        <w:rPr>
          <w:sz w:val="18"/>
          <w:szCs w:val="18"/>
          <w:lang w:val="en-US" w:eastAsia="cs-CZ"/>
        </w:rPr>
        <w:t xml:space="preserve">Levitz, </w:t>
      </w:r>
      <w:r w:rsidR="002723E7" w:rsidRPr="00B15FD1">
        <w:rPr>
          <w:sz w:val="18"/>
          <w:szCs w:val="18"/>
          <w:lang w:val="en-US" w:eastAsia="cs-CZ"/>
        </w:rPr>
        <w:t xml:space="preserve">S. M., </w:t>
      </w:r>
      <w:proofErr w:type="spellStart"/>
      <w:r w:rsidRPr="00B15FD1">
        <w:rPr>
          <w:sz w:val="18"/>
          <w:szCs w:val="18"/>
          <w:lang w:val="en-US" w:eastAsia="cs-CZ"/>
        </w:rPr>
        <w:t>Netea</w:t>
      </w:r>
      <w:proofErr w:type="spellEnd"/>
      <w:r w:rsidRPr="00B15FD1">
        <w:rPr>
          <w:sz w:val="18"/>
          <w:szCs w:val="18"/>
          <w:lang w:val="en-US" w:eastAsia="cs-CZ"/>
        </w:rPr>
        <w:t xml:space="preserve">, </w:t>
      </w:r>
      <w:r w:rsidR="002723E7" w:rsidRPr="00B15FD1">
        <w:rPr>
          <w:sz w:val="18"/>
          <w:szCs w:val="18"/>
          <w:lang w:val="en-US" w:eastAsia="cs-CZ"/>
        </w:rPr>
        <w:t xml:space="preserve">M. G. &amp; </w:t>
      </w:r>
      <w:r w:rsidRPr="00B15FD1">
        <w:rPr>
          <w:sz w:val="18"/>
          <w:szCs w:val="18"/>
          <w:lang w:val="en-US" w:eastAsia="cs-CZ"/>
        </w:rPr>
        <w:t>White</w:t>
      </w:r>
      <w:r w:rsidR="002723E7" w:rsidRPr="00B15FD1">
        <w:rPr>
          <w:sz w:val="18"/>
          <w:szCs w:val="18"/>
          <w:lang w:val="en-US" w:eastAsia="cs-CZ"/>
        </w:rPr>
        <w:t>,</w:t>
      </w:r>
      <w:r w:rsidRPr="00B15FD1">
        <w:rPr>
          <w:sz w:val="18"/>
          <w:szCs w:val="18"/>
          <w:lang w:val="en-US" w:eastAsia="cs-CZ"/>
        </w:rPr>
        <w:t xml:space="preserve"> </w:t>
      </w:r>
      <w:r w:rsidR="002723E7" w:rsidRPr="00B15FD1">
        <w:rPr>
          <w:sz w:val="18"/>
          <w:szCs w:val="18"/>
          <w:lang w:val="en-US" w:eastAsia="cs-CZ"/>
        </w:rPr>
        <w:t xml:space="preserve">T. C. </w:t>
      </w:r>
      <w:r w:rsidRPr="00B15FD1">
        <w:rPr>
          <w:sz w:val="18"/>
          <w:szCs w:val="18"/>
          <w:lang w:val="en-US" w:eastAsia="cs-CZ"/>
        </w:rPr>
        <w:t xml:space="preserve">(2012). </w:t>
      </w:r>
      <w:r w:rsidRPr="00B15FD1">
        <w:rPr>
          <w:i/>
          <w:iCs/>
          <w:sz w:val="18"/>
          <w:szCs w:val="18"/>
          <w:lang w:val="en-US" w:eastAsia="cs-CZ"/>
        </w:rPr>
        <w:t>Sci. Transl. Med</w:t>
      </w:r>
      <w:r w:rsidRPr="00B15FD1">
        <w:rPr>
          <w:sz w:val="18"/>
          <w:szCs w:val="18"/>
          <w:lang w:val="en-US" w:eastAsia="cs-CZ"/>
        </w:rPr>
        <w:t xml:space="preserve">. </w:t>
      </w:r>
      <w:r w:rsidRPr="00B15FD1">
        <w:rPr>
          <w:b/>
          <w:bCs/>
          <w:sz w:val="18"/>
          <w:szCs w:val="18"/>
          <w:lang w:val="en-US" w:eastAsia="cs-CZ"/>
        </w:rPr>
        <w:t>4</w:t>
      </w:r>
      <w:r w:rsidRPr="00E11CD7">
        <w:rPr>
          <w:sz w:val="18"/>
          <w:szCs w:val="18"/>
          <w:lang w:val="en-US" w:eastAsia="cs-CZ"/>
        </w:rPr>
        <w:t>, 165rv13.</w:t>
      </w:r>
    </w:p>
    <w:p w14:paraId="24157379" w14:textId="77777777" w:rsidR="00B15FD1" w:rsidRPr="00B15FD1" w:rsidRDefault="006D486F" w:rsidP="00B15FD1">
      <w:pPr>
        <w:rPr>
          <w:sz w:val="18"/>
          <w:szCs w:val="18"/>
          <w:lang w:eastAsia="cs-CZ"/>
        </w:rPr>
      </w:pPr>
      <w:r w:rsidRPr="00B15FD1">
        <w:rPr>
          <w:sz w:val="18"/>
          <w:szCs w:val="18"/>
          <w:lang w:eastAsia="cs-CZ"/>
        </w:rPr>
        <w:t xml:space="preserve">[4] </w:t>
      </w:r>
      <w:proofErr w:type="spellStart"/>
      <w:r w:rsidRPr="00B15FD1">
        <w:rPr>
          <w:sz w:val="18"/>
          <w:szCs w:val="18"/>
          <w:lang w:eastAsia="cs-CZ"/>
        </w:rPr>
        <w:t>Cherukuvada</w:t>
      </w:r>
      <w:proofErr w:type="spellEnd"/>
      <w:r w:rsidRPr="00B15FD1">
        <w:rPr>
          <w:sz w:val="18"/>
          <w:szCs w:val="18"/>
          <w:lang w:eastAsia="cs-CZ"/>
        </w:rPr>
        <w:t xml:space="preserve">, S. &amp; Nangia, A. (2014). </w:t>
      </w:r>
      <w:r w:rsidRPr="00B15FD1">
        <w:rPr>
          <w:i/>
          <w:iCs/>
          <w:sz w:val="18"/>
          <w:szCs w:val="18"/>
          <w:lang w:eastAsia="cs-CZ"/>
        </w:rPr>
        <w:t>Chem. Commun</w:t>
      </w:r>
      <w:r w:rsidRPr="00B15FD1">
        <w:rPr>
          <w:sz w:val="18"/>
          <w:szCs w:val="18"/>
          <w:lang w:eastAsia="cs-CZ"/>
        </w:rPr>
        <w:t xml:space="preserve">. </w:t>
      </w:r>
      <w:r w:rsidRPr="00B15FD1">
        <w:rPr>
          <w:b/>
          <w:bCs/>
          <w:sz w:val="18"/>
          <w:szCs w:val="18"/>
          <w:lang w:eastAsia="cs-CZ"/>
        </w:rPr>
        <w:t>50</w:t>
      </w:r>
      <w:r w:rsidRPr="00B15FD1">
        <w:rPr>
          <w:sz w:val="18"/>
          <w:szCs w:val="18"/>
          <w:lang w:eastAsia="cs-CZ"/>
        </w:rPr>
        <w:t>, 906–923.</w:t>
      </w:r>
    </w:p>
    <w:p w14:paraId="68FFEC97" w14:textId="00A98AA7" w:rsidR="00B15FD1" w:rsidRPr="00B15FD1" w:rsidRDefault="006D486F" w:rsidP="00B15FD1">
      <w:pPr>
        <w:rPr>
          <w:sz w:val="18"/>
          <w:szCs w:val="18"/>
          <w:lang w:val="pl-PL"/>
        </w:rPr>
      </w:pPr>
      <w:r w:rsidRPr="00B15FD1">
        <w:rPr>
          <w:sz w:val="18"/>
          <w:szCs w:val="18"/>
          <w:lang w:val="en-US"/>
        </w:rPr>
        <w:t>[5]</w:t>
      </w:r>
      <w:r w:rsidRPr="00B15FD1">
        <w:rPr>
          <w:sz w:val="18"/>
          <w:szCs w:val="18"/>
        </w:rPr>
        <w:t xml:space="preserve"> Sawyer, P. R., Brogden, R. N., Pinder, R. M., Speight, T. M. &amp; Avery, G. A. (1975). </w:t>
      </w:r>
      <w:proofErr w:type="spellStart"/>
      <w:r w:rsidRPr="00B15FD1">
        <w:rPr>
          <w:i/>
          <w:iCs/>
          <w:sz w:val="18"/>
          <w:szCs w:val="18"/>
          <w:lang w:val="pl-PL"/>
        </w:rPr>
        <w:t>Drugs</w:t>
      </w:r>
      <w:proofErr w:type="spellEnd"/>
      <w:r w:rsidRPr="00B15FD1">
        <w:rPr>
          <w:sz w:val="18"/>
          <w:szCs w:val="18"/>
          <w:lang w:val="pl-PL"/>
        </w:rPr>
        <w:t xml:space="preserve">, </w:t>
      </w:r>
      <w:r w:rsidRPr="00B15FD1">
        <w:rPr>
          <w:b/>
          <w:sz w:val="18"/>
          <w:szCs w:val="18"/>
          <w:lang w:val="pl-PL"/>
        </w:rPr>
        <w:t>9</w:t>
      </w:r>
      <w:r w:rsidRPr="00B15FD1">
        <w:rPr>
          <w:sz w:val="18"/>
          <w:szCs w:val="18"/>
          <w:lang w:val="pl-PL"/>
        </w:rPr>
        <w:t>, 406</w:t>
      </w:r>
      <w:r w:rsidR="00B15FD1" w:rsidRPr="00E11CD7">
        <w:rPr>
          <w:sz w:val="18"/>
          <w:szCs w:val="18"/>
          <w:lang w:val="pl-PL" w:eastAsia="cs-CZ"/>
        </w:rPr>
        <w:t>–</w:t>
      </w:r>
      <w:r w:rsidRPr="00B15FD1">
        <w:rPr>
          <w:sz w:val="18"/>
          <w:szCs w:val="18"/>
          <w:lang w:val="pl-PL"/>
        </w:rPr>
        <w:t>423.</w:t>
      </w:r>
    </w:p>
    <w:p w14:paraId="12EC1CF8" w14:textId="02288EEE" w:rsidR="00773D9E" w:rsidRPr="00B15FD1" w:rsidRDefault="00000000" w:rsidP="00B15FD1">
      <w:pPr>
        <w:rPr>
          <w:sz w:val="18"/>
          <w:szCs w:val="18"/>
          <w:lang w:eastAsia="cs-CZ"/>
        </w:rPr>
      </w:pPr>
      <w:r w:rsidRPr="00B15FD1">
        <w:rPr>
          <w:sz w:val="18"/>
          <w:szCs w:val="18"/>
          <w:lang w:val="pl-PL"/>
        </w:rPr>
        <w:t>[</w:t>
      </w:r>
      <w:r w:rsidR="006D486F" w:rsidRPr="00B15FD1">
        <w:rPr>
          <w:sz w:val="18"/>
          <w:szCs w:val="18"/>
          <w:lang w:val="pl-PL"/>
        </w:rPr>
        <w:t>6</w:t>
      </w:r>
      <w:r w:rsidRPr="00B15FD1">
        <w:rPr>
          <w:sz w:val="18"/>
          <w:szCs w:val="18"/>
          <w:lang w:val="pl-PL"/>
        </w:rPr>
        <w:t xml:space="preserve">] </w:t>
      </w:r>
      <w:proofErr w:type="spellStart"/>
      <w:r w:rsidR="006D486F" w:rsidRPr="00B15FD1">
        <w:rPr>
          <w:sz w:val="18"/>
          <w:szCs w:val="18"/>
          <w:lang w:val="pl-PL"/>
        </w:rPr>
        <w:t>Hushcha</w:t>
      </w:r>
      <w:proofErr w:type="spellEnd"/>
      <w:r w:rsidR="006D486F" w:rsidRPr="00B15FD1">
        <w:rPr>
          <w:sz w:val="18"/>
          <w:szCs w:val="18"/>
          <w:lang w:val="pl-PL"/>
        </w:rPr>
        <w:t xml:space="preserve">, </w:t>
      </w:r>
      <w:r w:rsidR="002723E7" w:rsidRPr="00B15FD1">
        <w:rPr>
          <w:sz w:val="18"/>
          <w:szCs w:val="18"/>
          <w:lang w:val="pl-PL"/>
        </w:rPr>
        <w:t xml:space="preserve">V., </w:t>
      </w:r>
      <w:r w:rsidR="006D486F" w:rsidRPr="00B15FD1">
        <w:rPr>
          <w:sz w:val="18"/>
          <w:szCs w:val="18"/>
          <w:lang w:val="pl-PL"/>
        </w:rPr>
        <w:t xml:space="preserve">Ben, </w:t>
      </w:r>
      <w:r w:rsidR="002723E7" w:rsidRPr="00B15FD1">
        <w:rPr>
          <w:sz w:val="18"/>
          <w:szCs w:val="18"/>
          <w:lang w:val="pl-PL"/>
        </w:rPr>
        <w:t xml:space="preserve">A., </w:t>
      </w:r>
      <w:r w:rsidR="006D486F" w:rsidRPr="00B15FD1">
        <w:rPr>
          <w:sz w:val="18"/>
          <w:szCs w:val="18"/>
          <w:lang w:val="pl-PL"/>
        </w:rPr>
        <w:t xml:space="preserve">Felczak, </w:t>
      </w:r>
      <w:r w:rsidR="002723E7" w:rsidRPr="00B15FD1">
        <w:rPr>
          <w:sz w:val="18"/>
          <w:szCs w:val="18"/>
          <w:lang w:val="pl-PL"/>
        </w:rPr>
        <w:t xml:space="preserve">A., </w:t>
      </w:r>
      <w:r w:rsidR="006D486F" w:rsidRPr="00B15FD1">
        <w:rPr>
          <w:sz w:val="18"/>
          <w:szCs w:val="18"/>
          <w:lang w:val="pl-PL"/>
        </w:rPr>
        <w:t xml:space="preserve">Lisowska, </w:t>
      </w:r>
      <w:r w:rsidR="002723E7" w:rsidRPr="00B15FD1">
        <w:rPr>
          <w:sz w:val="18"/>
          <w:szCs w:val="18"/>
          <w:lang w:val="pl-PL"/>
        </w:rPr>
        <w:t xml:space="preserve">K., </w:t>
      </w:r>
      <w:proofErr w:type="spellStart"/>
      <w:r w:rsidR="006D486F" w:rsidRPr="00B15FD1">
        <w:rPr>
          <w:sz w:val="18"/>
          <w:szCs w:val="18"/>
          <w:lang w:val="pl-PL"/>
        </w:rPr>
        <w:t>Kinart</w:t>
      </w:r>
      <w:proofErr w:type="spellEnd"/>
      <w:r w:rsidR="006D486F" w:rsidRPr="00B15FD1">
        <w:rPr>
          <w:sz w:val="18"/>
          <w:szCs w:val="18"/>
          <w:lang w:val="pl-PL"/>
        </w:rPr>
        <w:t xml:space="preserve">, </w:t>
      </w:r>
      <w:r w:rsidR="002723E7" w:rsidRPr="00B15FD1">
        <w:rPr>
          <w:sz w:val="18"/>
          <w:szCs w:val="18"/>
          <w:lang w:val="pl-PL"/>
        </w:rPr>
        <w:t xml:space="preserve">Z., </w:t>
      </w:r>
      <w:r w:rsidR="006D486F" w:rsidRPr="00B15FD1">
        <w:rPr>
          <w:sz w:val="18"/>
          <w:szCs w:val="18"/>
          <w:lang w:val="pl-PL"/>
        </w:rPr>
        <w:t xml:space="preserve">Gacki, </w:t>
      </w:r>
      <w:r w:rsidR="002723E7" w:rsidRPr="00B15FD1">
        <w:rPr>
          <w:sz w:val="18"/>
          <w:szCs w:val="18"/>
          <w:lang w:val="pl-PL"/>
        </w:rPr>
        <w:t xml:space="preserve">M. &amp; </w:t>
      </w:r>
      <w:r w:rsidR="006D486F" w:rsidRPr="00B15FD1">
        <w:rPr>
          <w:sz w:val="18"/>
          <w:szCs w:val="18"/>
          <w:lang w:val="pl-PL"/>
        </w:rPr>
        <w:t>Chęcińska</w:t>
      </w:r>
      <w:r w:rsidR="002723E7" w:rsidRPr="00B15FD1">
        <w:rPr>
          <w:sz w:val="18"/>
          <w:szCs w:val="18"/>
          <w:lang w:val="pl-PL"/>
        </w:rPr>
        <w:t>,</w:t>
      </w:r>
      <w:r w:rsidR="006D486F" w:rsidRPr="00B15FD1">
        <w:rPr>
          <w:sz w:val="18"/>
          <w:szCs w:val="18"/>
          <w:lang w:val="pl-PL"/>
        </w:rPr>
        <w:t xml:space="preserve"> </w:t>
      </w:r>
      <w:r w:rsidR="002723E7" w:rsidRPr="00B15FD1">
        <w:rPr>
          <w:sz w:val="18"/>
          <w:szCs w:val="18"/>
          <w:lang w:val="pl-PL"/>
        </w:rPr>
        <w:t xml:space="preserve">L. </w:t>
      </w:r>
      <w:r w:rsidR="006D486F" w:rsidRPr="00B15FD1">
        <w:rPr>
          <w:sz w:val="18"/>
          <w:szCs w:val="18"/>
          <w:lang w:val="pl-PL"/>
        </w:rPr>
        <w:t xml:space="preserve">(2024). </w:t>
      </w:r>
      <w:r w:rsidR="006D486F" w:rsidRPr="00B15FD1">
        <w:rPr>
          <w:i/>
          <w:iCs/>
          <w:sz w:val="18"/>
          <w:szCs w:val="18"/>
        </w:rPr>
        <w:t>Scientific reports</w:t>
      </w:r>
      <w:r w:rsidR="006D486F" w:rsidRPr="00B15FD1">
        <w:rPr>
          <w:sz w:val="18"/>
          <w:szCs w:val="18"/>
        </w:rPr>
        <w:t xml:space="preserve">, </w:t>
      </w:r>
      <w:r w:rsidR="006D486F" w:rsidRPr="00B15FD1">
        <w:rPr>
          <w:b/>
          <w:sz w:val="18"/>
          <w:szCs w:val="18"/>
        </w:rPr>
        <w:t>14</w:t>
      </w:r>
      <w:r w:rsidR="006D486F" w:rsidRPr="00B15FD1">
        <w:rPr>
          <w:sz w:val="18"/>
          <w:szCs w:val="18"/>
        </w:rPr>
        <w:t>, 29317.</w:t>
      </w:r>
    </w:p>
    <w:p w14:paraId="776866A1" w14:textId="4657F0B1" w:rsidR="00773D9E" w:rsidRPr="00B15FD1" w:rsidRDefault="006D486F" w:rsidP="00632769">
      <w:pPr>
        <w:rPr>
          <w:sz w:val="18"/>
          <w:szCs w:val="18"/>
          <w:lang w:eastAsia="cs-CZ"/>
        </w:rPr>
      </w:pPr>
      <w:r w:rsidRPr="00B15FD1">
        <w:rPr>
          <w:sz w:val="18"/>
          <w:szCs w:val="18"/>
          <w:lang w:eastAsia="cs-CZ"/>
        </w:rPr>
        <w:t xml:space="preserve">[7] Ben, </w:t>
      </w:r>
      <w:r w:rsidR="002723E7" w:rsidRPr="00B15FD1">
        <w:rPr>
          <w:sz w:val="18"/>
          <w:szCs w:val="18"/>
          <w:lang w:eastAsia="cs-CZ"/>
        </w:rPr>
        <w:t xml:space="preserve">A., </w:t>
      </w:r>
      <w:proofErr w:type="spellStart"/>
      <w:r w:rsidRPr="00B15FD1">
        <w:rPr>
          <w:sz w:val="18"/>
          <w:szCs w:val="18"/>
          <w:lang w:eastAsia="cs-CZ"/>
        </w:rPr>
        <w:t>Dominikowska</w:t>
      </w:r>
      <w:proofErr w:type="spellEnd"/>
      <w:r w:rsidRPr="00B15FD1">
        <w:rPr>
          <w:sz w:val="18"/>
          <w:szCs w:val="18"/>
          <w:lang w:eastAsia="cs-CZ"/>
        </w:rPr>
        <w:t xml:space="preserve">, </w:t>
      </w:r>
      <w:r w:rsidR="002723E7" w:rsidRPr="00B15FD1">
        <w:rPr>
          <w:sz w:val="18"/>
          <w:szCs w:val="18"/>
          <w:lang w:eastAsia="cs-CZ"/>
        </w:rPr>
        <w:t xml:space="preserve">J., </w:t>
      </w:r>
      <w:r w:rsidRPr="00B15FD1">
        <w:rPr>
          <w:sz w:val="18"/>
          <w:szCs w:val="18"/>
          <w:lang w:eastAsia="cs-CZ"/>
        </w:rPr>
        <w:t xml:space="preserve">Fiser, </w:t>
      </w:r>
      <w:r w:rsidR="002723E7" w:rsidRPr="00B15FD1">
        <w:rPr>
          <w:sz w:val="18"/>
          <w:szCs w:val="18"/>
          <w:lang w:eastAsia="cs-CZ"/>
        </w:rPr>
        <w:t xml:space="preserve">B. &amp; </w:t>
      </w:r>
      <w:r w:rsidRPr="00B15FD1">
        <w:rPr>
          <w:sz w:val="18"/>
          <w:szCs w:val="18"/>
          <w:lang w:eastAsia="cs-CZ"/>
        </w:rPr>
        <w:t>Chęcińska</w:t>
      </w:r>
      <w:r w:rsidR="002723E7" w:rsidRPr="00B15FD1">
        <w:rPr>
          <w:sz w:val="18"/>
          <w:szCs w:val="18"/>
          <w:lang w:eastAsia="cs-CZ"/>
        </w:rPr>
        <w:t>,</w:t>
      </w:r>
      <w:r w:rsidRPr="00B15FD1">
        <w:rPr>
          <w:sz w:val="18"/>
          <w:szCs w:val="18"/>
          <w:lang w:eastAsia="cs-CZ"/>
        </w:rPr>
        <w:t xml:space="preserve"> </w:t>
      </w:r>
      <w:r w:rsidR="002723E7" w:rsidRPr="00B15FD1">
        <w:rPr>
          <w:sz w:val="18"/>
          <w:szCs w:val="18"/>
          <w:lang w:eastAsia="cs-CZ"/>
        </w:rPr>
        <w:t xml:space="preserve">L. </w:t>
      </w:r>
      <w:r w:rsidRPr="00B15FD1">
        <w:rPr>
          <w:sz w:val="18"/>
          <w:szCs w:val="18"/>
          <w:lang w:eastAsia="cs-CZ"/>
        </w:rPr>
        <w:t xml:space="preserve">(2025). </w:t>
      </w:r>
      <w:proofErr w:type="spellStart"/>
      <w:r w:rsidRPr="00B15FD1">
        <w:rPr>
          <w:i/>
          <w:iCs/>
          <w:sz w:val="18"/>
          <w:szCs w:val="18"/>
          <w:lang w:eastAsia="cs-CZ"/>
        </w:rPr>
        <w:t>Cryst</w:t>
      </w:r>
      <w:proofErr w:type="spellEnd"/>
      <w:r w:rsidRPr="00B15FD1">
        <w:rPr>
          <w:i/>
          <w:iCs/>
          <w:sz w:val="18"/>
          <w:szCs w:val="18"/>
          <w:lang w:eastAsia="cs-CZ"/>
        </w:rPr>
        <w:t>. Growth Des</w:t>
      </w:r>
      <w:r w:rsidRPr="00B15FD1">
        <w:rPr>
          <w:sz w:val="18"/>
          <w:szCs w:val="18"/>
          <w:lang w:eastAsia="cs-CZ"/>
        </w:rPr>
        <w:t>. under review.</w:t>
      </w:r>
    </w:p>
    <w:sectPr w:rsidR="00773D9E" w:rsidRPr="00B15FD1">
      <w:headerReference w:type="default" r:id="rId7"/>
      <w:footerReference w:type="default" r:id="rId8"/>
      <w:pgSz w:w="12240" w:h="15840"/>
      <w:pgMar w:top="765" w:right="720" w:bottom="765" w:left="720" w:header="708" w:footer="708" w:gutter="0"/>
      <w:cols w:space="708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26ED4" w14:textId="77777777" w:rsidR="00C22568" w:rsidRDefault="00C22568">
      <w:pPr>
        <w:spacing w:after="0"/>
      </w:pPr>
      <w:r>
        <w:separator/>
      </w:r>
    </w:p>
  </w:endnote>
  <w:endnote w:type="continuationSeparator" w:id="0">
    <w:p w14:paraId="2F254806" w14:textId="77777777" w:rsidR="00C22568" w:rsidRDefault="00C225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D5EDC" w14:textId="77777777" w:rsidR="00EF1821" w:rsidRDefault="00000000">
    <w:pPr>
      <w:pStyle w:val="Stopka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5C3D0120" w14:textId="77777777" w:rsidR="00EF1821" w:rsidRDefault="00EF1821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18B34" w14:textId="77777777" w:rsidR="00C22568" w:rsidRDefault="00C22568">
      <w:pPr>
        <w:spacing w:after="0"/>
      </w:pPr>
      <w:r>
        <w:separator/>
      </w:r>
    </w:p>
  </w:footnote>
  <w:footnote w:type="continuationSeparator" w:id="0">
    <w:p w14:paraId="27078A86" w14:textId="77777777" w:rsidR="00C22568" w:rsidRDefault="00C225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A496E" w14:textId="77777777" w:rsidR="00EF1821" w:rsidRDefault="00000000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821"/>
    <w:rsid w:val="0003754D"/>
    <w:rsid w:val="00042276"/>
    <w:rsid w:val="00050EFE"/>
    <w:rsid w:val="000963B4"/>
    <w:rsid w:val="000E0E7B"/>
    <w:rsid w:val="00112FE4"/>
    <w:rsid w:val="0025099F"/>
    <w:rsid w:val="002723E7"/>
    <w:rsid w:val="002A7492"/>
    <w:rsid w:val="002E4AB7"/>
    <w:rsid w:val="003816DA"/>
    <w:rsid w:val="0040786A"/>
    <w:rsid w:val="00413F24"/>
    <w:rsid w:val="00493763"/>
    <w:rsid w:val="004E4D7B"/>
    <w:rsid w:val="00632769"/>
    <w:rsid w:val="006879B1"/>
    <w:rsid w:val="006D486F"/>
    <w:rsid w:val="006E17A2"/>
    <w:rsid w:val="00773D9E"/>
    <w:rsid w:val="00777875"/>
    <w:rsid w:val="007950E8"/>
    <w:rsid w:val="007C58FE"/>
    <w:rsid w:val="007E7038"/>
    <w:rsid w:val="00825AD7"/>
    <w:rsid w:val="008C18D7"/>
    <w:rsid w:val="009259D2"/>
    <w:rsid w:val="00B15FD1"/>
    <w:rsid w:val="00BE1C88"/>
    <w:rsid w:val="00C22568"/>
    <w:rsid w:val="00C8690E"/>
    <w:rsid w:val="00D01100"/>
    <w:rsid w:val="00D9571A"/>
    <w:rsid w:val="00DE45B0"/>
    <w:rsid w:val="00E11CD7"/>
    <w:rsid w:val="00E12D54"/>
    <w:rsid w:val="00E35BE4"/>
    <w:rsid w:val="00EB157B"/>
    <w:rsid w:val="00EF089E"/>
    <w:rsid w:val="00EF1821"/>
    <w:rsid w:val="00F65F38"/>
    <w:rsid w:val="00FA7003"/>
    <w:rsid w:val="00FB598B"/>
    <w:rsid w:val="00FE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3305"/>
  <w15:docId w15:val="{98439FF3-F45A-42AC-A87A-07046D09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275"/>
    <w:pPr>
      <w:spacing w:after="120"/>
      <w:jc w:val="both"/>
    </w:pPr>
    <w:rPr>
      <w:lang w:eastAsia="de-DE"/>
    </w:rPr>
  </w:style>
  <w:style w:type="paragraph" w:styleId="Nagwek1">
    <w:name w:val="heading 1"/>
    <w:basedOn w:val="Normalny"/>
    <w:next w:val="Nagwek2"/>
    <w:link w:val="Nagwek1Znak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Nagwek2">
    <w:name w:val="heading 2"/>
    <w:basedOn w:val="Normalny"/>
    <w:next w:val="Nagwek3"/>
    <w:link w:val="Nagwek2Znak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Nagwek5">
    <w:name w:val="heading 5"/>
    <w:basedOn w:val="Nagwek6"/>
    <w:next w:val="Normalny"/>
    <w:link w:val="Nagwek5Znak"/>
    <w:uiPriority w:val="9"/>
    <w:unhideWhenUsed/>
    <w:qFormat/>
    <w:rsid w:val="00605A18"/>
    <w:pPr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Nagwek2Znak">
    <w:name w:val="Nagłówek 2 Znak"/>
    <w:link w:val="Nagwek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Nagwek3Znak">
    <w:name w:val="Nagłówek 3 Znak"/>
    <w:link w:val="Nagwek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Nagwek4Znak">
    <w:name w:val="Nagłówek 4 Znak"/>
    <w:link w:val="Nagwek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-adresZnak">
    <w:name w:val="HTML - adres Znak"/>
    <w:link w:val="HTML-adres"/>
    <w:uiPriority w:val="99"/>
    <w:semiHidden/>
    <w:qFormat/>
    <w:rsid w:val="005E6DCD"/>
    <w:rPr>
      <w:i/>
      <w:iCs/>
      <w:lang w:val="de-DE" w:eastAsia="de-DE"/>
    </w:rPr>
  </w:style>
  <w:style w:type="character" w:customStyle="1" w:styleId="Nagwek5Znak">
    <w:name w:val="Nagłówek 5 Znak"/>
    <w:link w:val="Nagwek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Nagwek6Znak">
    <w:name w:val="Nagłówek 6 Znak"/>
    <w:link w:val="Nagwek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NagwekZnak">
    <w:name w:val="Nagłówek Znak"/>
    <w:link w:val="Nagwek"/>
    <w:uiPriority w:val="99"/>
    <w:qFormat/>
    <w:rsid w:val="00D13351"/>
    <w:rPr>
      <w:lang w:val="en-GB" w:eastAsia="de-DE"/>
    </w:rPr>
  </w:style>
  <w:style w:type="character" w:customStyle="1" w:styleId="StopkaZnak">
    <w:name w:val="Stopka Znak"/>
    <w:link w:val="Stopka"/>
    <w:uiPriority w:val="99"/>
    <w:qFormat/>
    <w:rsid w:val="00D13351"/>
    <w:rPr>
      <w:lang w:val="en-GB" w:eastAsia="de-DE"/>
    </w:rPr>
  </w:style>
  <w:style w:type="character" w:customStyle="1" w:styleId="TekstdymkaZnak">
    <w:name w:val="Tekst dymka Znak"/>
    <w:link w:val="Tekstdymka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ny"/>
    <w:qFormat/>
    <w:rsid w:val="00777DA8"/>
    <w:rPr>
      <w:i/>
    </w:rPr>
  </w:style>
  <w:style w:type="paragraph" w:styleId="HTML-adres">
    <w:name w:val="HTML Address"/>
    <w:basedOn w:val="Normalny"/>
    <w:link w:val="HTML-adresZnak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8C18D7"/>
    <w:pPr>
      <w:suppressAutoHyphens w:val="0"/>
      <w:spacing w:after="0"/>
      <w:jc w:val="left"/>
    </w:pPr>
    <w:rPr>
      <w:rFonts w:asciiTheme="minorHAnsi" w:eastAsiaTheme="minorHAnsi" w:hAnsiTheme="minorHAnsi" w:cstheme="minorBidi"/>
      <w:kern w:val="2"/>
      <w:lang w:val="ru-RU" w:eastAsia="en-US"/>
      <w14:ligatures w14:val="standardContextua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C18D7"/>
    <w:rPr>
      <w:rFonts w:asciiTheme="minorHAnsi" w:eastAsiaTheme="minorHAnsi" w:hAnsiTheme="minorHAnsi" w:cstheme="minorBidi"/>
      <w:kern w:val="2"/>
      <w:lang w:val="ru-RU" w:eastAsia="en-US"/>
      <w14:ligatures w14:val="standardContextu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18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Anna Ben</cp:lastModifiedBy>
  <cp:revision>2</cp:revision>
  <dcterms:created xsi:type="dcterms:W3CDTF">2025-05-09T18:47:00Z</dcterms:created>
  <dcterms:modified xsi:type="dcterms:W3CDTF">2025-05-09T18:47:00Z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