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602556" w14:textId="259DC048" w:rsidR="00E633CE" w:rsidRDefault="0029512E">
      <w:pPr>
        <w:pStyle w:val="Heading1"/>
      </w:pPr>
      <w:r w:rsidRPr="008B5E6F">
        <w:t xml:space="preserve">Synthesis and solid-state </w:t>
      </w:r>
      <w:r>
        <w:t>NMR</w:t>
      </w:r>
      <w:r w:rsidRPr="008B5E6F">
        <w:t xml:space="preserve">-driven crystal structure determination of the first co-drug of valproic acid and </w:t>
      </w:r>
      <w:r>
        <w:t>L</w:t>
      </w:r>
      <w:r w:rsidRPr="008B5E6F">
        <w:t>-carnitine</w:t>
      </w:r>
    </w:p>
    <w:p w14:paraId="1680168C" w14:textId="51EFB3A6" w:rsidR="00835BAE" w:rsidRPr="00835BAE" w:rsidRDefault="00835BAE" w:rsidP="00835BAE">
      <w:pPr>
        <w:pStyle w:val="Heading2"/>
        <w:rPr>
          <w:vertAlign w:val="superscript"/>
          <w:lang w:val="it-IT"/>
        </w:rPr>
      </w:pPr>
      <w:r w:rsidRPr="00835BAE">
        <w:rPr>
          <w:u w:val="single"/>
          <w:lang w:val="it-IT"/>
        </w:rPr>
        <w:t>F. Bravetti</w:t>
      </w:r>
      <w:r w:rsidRPr="00835BAE">
        <w:rPr>
          <w:lang w:val="it-IT"/>
        </w:rPr>
        <w:t>,</w:t>
      </w:r>
      <w:r>
        <w:rPr>
          <w:vertAlign w:val="superscript"/>
          <w:lang w:val="it-IT"/>
        </w:rPr>
        <w:t>1,2</w:t>
      </w:r>
      <w:r w:rsidRPr="00835BAE">
        <w:rPr>
          <w:lang w:val="it-IT"/>
        </w:rPr>
        <w:t xml:space="preserve"> S. Bordignon,</w:t>
      </w:r>
      <w:r>
        <w:rPr>
          <w:vertAlign w:val="superscript"/>
          <w:lang w:val="it-IT"/>
        </w:rPr>
        <w:t>2</w:t>
      </w:r>
      <w:r w:rsidRPr="00835BAE">
        <w:rPr>
          <w:lang w:val="it-IT"/>
        </w:rPr>
        <w:t xml:space="preserve"> A. Gallo,</w:t>
      </w:r>
      <w:r>
        <w:rPr>
          <w:vertAlign w:val="superscript"/>
          <w:lang w:val="it-IT"/>
        </w:rPr>
        <w:t>2</w:t>
      </w:r>
      <w:r w:rsidRPr="00835BAE">
        <w:rPr>
          <w:lang w:val="it-IT"/>
        </w:rPr>
        <w:t xml:space="preserve"> M. U. Schmidt,</w:t>
      </w:r>
      <w:r>
        <w:rPr>
          <w:vertAlign w:val="superscript"/>
          <w:lang w:val="it-IT"/>
        </w:rPr>
        <w:t>1</w:t>
      </w:r>
      <w:r w:rsidRPr="00835BAE">
        <w:rPr>
          <w:lang w:val="it-IT"/>
        </w:rPr>
        <w:t xml:space="preserve"> R. Gobetto,</w:t>
      </w:r>
      <w:r>
        <w:rPr>
          <w:vertAlign w:val="superscript"/>
          <w:lang w:val="it-IT"/>
        </w:rPr>
        <w:t>2</w:t>
      </w:r>
      <w:r w:rsidRPr="00835BAE">
        <w:rPr>
          <w:lang w:val="it-IT"/>
        </w:rPr>
        <w:t xml:space="preserve"> M. R. Chierotti</w:t>
      </w:r>
      <w:r>
        <w:rPr>
          <w:vertAlign w:val="superscript"/>
          <w:lang w:val="it-IT"/>
        </w:rPr>
        <w:t>2</w:t>
      </w:r>
    </w:p>
    <w:p w14:paraId="108E0C9A" w14:textId="264801E5" w:rsidR="00E633CE" w:rsidRDefault="0085624C" w:rsidP="00E57E65">
      <w:pPr>
        <w:pStyle w:val="Heading3"/>
      </w:pPr>
      <w:r>
        <w:rPr>
          <w:vertAlign w:val="superscript"/>
        </w:rPr>
        <w:t>1</w:t>
      </w:r>
      <w:r w:rsidR="00E57E65" w:rsidRPr="00E57E65">
        <w:t>Institute of Inorganic and Analytical Chemistry, Goethe University, Max-von-Laue-Str. 9,</w:t>
      </w:r>
      <w:r w:rsidR="003F1D93">
        <w:t xml:space="preserve"> </w:t>
      </w:r>
      <w:r w:rsidR="00E57E65" w:rsidRPr="00E57E65">
        <w:t>60438, Frankfurt am Main, Germany</w:t>
      </w:r>
      <w:r w:rsidR="00E57E65">
        <w:t xml:space="preserve">. </w:t>
      </w:r>
      <w:r>
        <w:t xml:space="preserve"> </w:t>
      </w:r>
      <w:r>
        <w:rPr>
          <w:vertAlign w:val="superscript"/>
        </w:rPr>
        <w:t>2</w:t>
      </w:r>
      <w:r w:rsidR="007A0D42" w:rsidRPr="007A0D42">
        <w:t xml:space="preserve">Department of Chemistry, University of Turin, via P. </w:t>
      </w:r>
      <w:proofErr w:type="spellStart"/>
      <w:r w:rsidR="007A0D42" w:rsidRPr="007A0D42">
        <w:t>Giuria</w:t>
      </w:r>
      <w:proofErr w:type="spellEnd"/>
      <w:r w:rsidR="007A0D42" w:rsidRPr="007A0D42">
        <w:t xml:space="preserve"> 7, 10125, Turin, </w:t>
      </w:r>
      <w:r w:rsidR="007A0D42">
        <w:t>Ital</w:t>
      </w:r>
      <w:r w:rsidR="003F1D93">
        <w:t>y.</w:t>
      </w:r>
    </w:p>
    <w:p w14:paraId="348622D3" w14:textId="2AA60622" w:rsidR="00E633CE" w:rsidRDefault="00AB19FF">
      <w:pPr>
        <w:pStyle w:val="Heading3"/>
        <w:rPr>
          <w:sz w:val="18"/>
          <w:szCs w:val="18"/>
        </w:rPr>
      </w:pPr>
      <w:r w:rsidRPr="00AB19FF">
        <w:t>Bravetti@chemie.uni-frankfurt.de</w:t>
      </w:r>
      <w:r w:rsidR="0085624C">
        <w:rPr>
          <w:lang w:eastAsia="de-DE"/>
        </w:rPr>
        <w:br/>
      </w:r>
    </w:p>
    <w:p w14:paraId="46606695" w14:textId="77777777" w:rsidR="00A32199" w:rsidRPr="00A32199" w:rsidRDefault="00A32199" w:rsidP="00A32199">
      <w:pPr>
        <w:rPr>
          <w:bCs/>
        </w:rPr>
      </w:pPr>
      <w:r w:rsidRPr="00A32199">
        <w:t xml:space="preserve">Crystal engineering has been for many years a valuable strategy to adopt in the pharmaceutical field. Indeed, it has proved successful in countering the adverse properties associated to the administration of solid crystalline drugs, without altering their inherent pharmaceutical activity. Here, we focused on 2-propylpentanoic acid, commonly known as valproic acid (VPA), </w:t>
      </w:r>
      <w:r w:rsidRPr="00A32199">
        <w:rPr>
          <w:bCs/>
        </w:rPr>
        <w:t>a synthetic anticonvulsant drug. Since VPA is liquid in ambient conditions, VPA-based drugs are administered in the form of sodium salts or amide derivatives. VPA is usually associated with a severe carnitine deficiency emerging in patients treated with this API, which leads to a dangerously inadequate lipid metabolism. Thus, amino acid L-carnitine (CNT) is frequently administered in combination with VPA [1]. In this work, we selected VPA and CNT to produce a drug-drug pharmaceutical cocrystal (or co-drug) in the co-administered dosage (1:1). The co-drug was obtained by mechanochemical methods, namely grinding equimolar amounts of VPA and CNT in an agate mortar [2]. VPA*CNT was initially analysed by means of multinuclear 1D and 2D SSNMR experiments (</w:t>
      </w:r>
      <w:r w:rsidRPr="00A32199">
        <w:rPr>
          <w:bCs/>
          <w:i/>
        </w:rPr>
        <w:t>i.e.</w:t>
      </w:r>
      <w:r w:rsidRPr="00A32199">
        <w:rPr>
          <w:bCs/>
        </w:rPr>
        <w:t xml:space="preserve">, </w:t>
      </w:r>
      <w:r w:rsidRPr="00A32199">
        <w:rPr>
          <w:bCs/>
          <w:vertAlign w:val="superscript"/>
        </w:rPr>
        <w:t>1</w:t>
      </w:r>
      <w:r w:rsidRPr="00A32199">
        <w:rPr>
          <w:bCs/>
        </w:rPr>
        <w:t xml:space="preserve">H MAS, </w:t>
      </w:r>
      <w:r w:rsidRPr="00A32199">
        <w:rPr>
          <w:bCs/>
          <w:vertAlign w:val="superscript"/>
        </w:rPr>
        <w:t>13</w:t>
      </w:r>
      <w:r w:rsidRPr="00A32199">
        <w:rPr>
          <w:bCs/>
        </w:rPr>
        <w:t xml:space="preserve">C and </w:t>
      </w:r>
      <w:r w:rsidRPr="00A32199">
        <w:rPr>
          <w:bCs/>
          <w:vertAlign w:val="superscript"/>
        </w:rPr>
        <w:t>15</w:t>
      </w:r>
      <w:r w:rsidRPr="00A32199">
        <w:rPr>
          <w:bCs/>
        </w:rPr>
        <w:t xml:space="preserve">N CPMAS, 2D off-resonance </w:t>
      </w:r>
      <w:r w:rsidRPr="00A32199">
        <w:rPr>
          <w:bCs/>
          <w:vertAlign w:val="superscript"/>
        </w:rPr>
        <w:t>1</w:t>
      </w:r>
      <w:r w:rsidRPr="00A32199">
        <w:rPr>
          <w:bCs/>
        </w:rPr>
        <w:t>H-</w:t>
      </w:r>
      <w:r w:rsidRPr="00A32199">
        <w:rPr>
          <w:bCs/>
          <w:vertAlign w:val="superscript"/>
        </w:rPr>
        <w:t>13</w:t>
      </w:r>
      <w:r w:rsidRPr="00A32199">
        <w:rPr>
          <w:bCs/>
        </w:rPr>
        <w:t>C FSLG HETCOR), to confirm its actual stoichiometry and obtain information on the number of independent molecules in the unit cell, the protonation state of the two components, and intermolecular atom-atom proximities. The crystal structure of VPA*CNT was successfully determined from powder diffraction data, despite the challenge posed by the several conformational degrees of freedom of both VPA and CNT molecules. Indeed, the information provided by SSNMR on the hydrogen-bond network of the co-drug (see Fig. 1) proved fundamental during the structure determination process [3].</w:t>
      </w:r>
    </w:p>
    <w:p w14:paraId="3BC3F8BD" w14:textId="49760497" w:rsidR="00E633CE" w:rsidRDefault="00823460">
      <w:pPr>
        <w:jc w:val="center"/>
      </w:pPr>
      <w:r>
        <w:rPr>
          <w:noProof/>
        </w:rPr>
        <mc:AlternateContent>
          <mc:Choice Requires="wps">
            <w:drawing>
              <wp:anchor distT="0" distB="0" distL="114300" distR="114300" simplePos="0" relativeHeight="251657728" behindDoc="0" locked="0" layoutInCell="1" allowOverlap="1" wp14:anchorId="0143CD54" wp14:editId="64321F89">
                <wp:simplePos x="0" y="0"/>
                <wp:positionH relativeFrom="column">
                  <wp:posOffset>0</wp:posOffset>
                </wp:positionH>
                <wp:positionV relativeFrom="paragraph">
                  <wp:posOffset>0</wp:posOffset>
                </wp:positionV>
                <wp:extent cx="635000" cy="635000"/>
                <wp:effectExtent l="0" t="0" r="3175" b="3175"/>
                <wp:wrapNone/>
                <wp:docPr id="907964562" name="_x0000_tole_rId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DC59F1" id="_x0000_tole_rId2"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0E221D" w:rsidRPr="00915DA3">
        <w:rPr>
          <w:rFonts w:ascii="Cambria" w:hAnsi="Cambria" w:cs="Arial"/>
          <w:bCs/>
          <w:noProof/>
          <w:lang w:val="it-IT"/>
        </w:rPr>
        <w:drawing>
          <wp:inline distT="0" distB="0" distL="0" distR="0" wp14:anchorId="4F9AF9B5" wp14:editId="3F1B06A7">
            <wp:extent cx="3420000" cy="1689595"/>
            <wp:effectExtent l="0" t="0" r="0" b="6350"/>
            <wp:docPr id="1974873908" name="Immagine 1974873908" descr="A structure of a molecu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873908" name="Immagine 1974873908" descr="A structure of a molecule&#10;&#10;AI-generated content may be incorrect."/>
                    <pic:cNvPicPr/>
                  </pic:nvPicPr>
                  <pic:blipFill rotWithShape="1">
                    <a:blip r:embed="rId7"/>
                    <a:srcRect t="4475" b="7412"/>
                    <a:stretch/>
                  </pic:blipFill>
                  <pic:spPr bwMode="auto">
                    <a:xfrm>
                      <a:off x="0" y="0"/>
                      <a:ext cx="3420000" cy="1689595"/>
                    </a:xfrm>
                    <a:prstGeom prst="rect">
                      <a:avLst/>
                    </a:prstGeom>
                    <a:ln>
                      <a:noFill/>
                    </a:ln>
                    <a:extLst>
                      <a:ext uri="{53640926-AAD7-44D8-BBD7-CCE9431645EC}">
                        <a14:shadowObscured xmlns:a14="http://schemas.microsoft.com/office/drawing/2010/main"/>
                      </a:ext>
                    </a:extLst>
                  </pic:spPr>
                </pic:pic>
              </a:graphicData>
            </a:graphic>
          </wp:inline>
        </w:drawing>
      </w:r>
    </w:p>
    <w:p w14:paraId="682A3C8E" w14:textId="1DF8DC45" w:rsidR="00E633CE" w:rsidRDefault="0085624C">
      <w:pPr>
        <w:pStyle w:val="Heading6"/>
      </w:pPr>
      <w:r>
        <w:rPr>
          <w:b/>
        </w:rPr>
        <w:t>Figure 1</w:t>
      </w:r>
      <w:r>
        <w:t xml:space="preserve">. </w:t>
      </w:r>
      <w:r w:rsidR="00CA3C4D" w:rsidRPr="00CA3C4D">
        <w:t xml:space="preserve">Representation of the asymmetric unit of VPA*CNT and the characteristic </w:t>
      </w:r>
      <m:oMath>
        <m:sSubSup>
          <m:sSubSupPr>
            <m:ctrlPr>
              <w:rPr>
                <w:rFonts w:ascii="Cambria Math" w:hAnsi="Cambria Math"/>
                <w:i/>
              </w:rPr>
            </m:ctrlPr>
          </m:sSubSupPr>
          <m:e>
            <m:r>
              <w:rPr>
                <w:rFonts w:ascii="Cambria Math" w:hAnsi="Cambria Math"/>
              </w:rPr>
              <m:t>R</m:t>
            </m:r>
          </m:e>
          <m:sub>
            <m:r>
              <w:rPr>
                <w:rFonts w:ascii="Cambria Math" w:hAnsi="Cambria Math"/>
              </w:rPr>
              <m:t>2</m:t>
            </m:r>
          </m:sub>
          <m:sup>
            <m:r>
              <w:rPr>
                <w:rFonts w:ascii="Cambria Math" w:hAnsi="Cambria Math"/>
              </w:rPr>
              <m:t>2</m:t>
            </m:r>
          </m:sup>
        </m:sSubSup>
        <m:d>
          <m:dPr>
            <m:ctrlPr>
              <w:rPr>
                <w:rFonts w:ascii="Cambria Math" w:hAnsi="Cambria Math"/>
                <w:i/>
              </w:rPr>
            </m:ctrlPr>
          </m:dPr>
          <m:e>
            <m:r>
              <w:rPr>
                <w:rFonts w:ascii="Cambria Math" w:hAnsi="Cambria Math"/>
              </w:rPr>
              <m:t>10</m:t>
            </m:r>
          </m:e>
        </m:d>
      </m:oMath>
      <w:r w:rsidR="00CA3C4D" w:rsidRPr="00CA3C4D">
        <w:t xml:space="preserve"> hydrogen-bond motif (turquoise dashed lines).</w:t>
      </w:r>
    </w:p>
    <w:p w14:paraId="376201E2" w14:textId="77777777" w:rsidR="00E633CE" w:rsidRDefault="00E633CE">
      <w:pPr>
        <w:rPr>
          <w:lang w:eastAsia="cs-CZ"/>
        </w:rPr>
      </w:pPr>
    </w:p>
    <w:p w14:paraId="308A952B" w14:textId="74BB1269" w:rsidR="00D45448" w:rsidRDefault="0085624C" w:rsidP="0085624C">
      <w:pPr>
        <w:rPr>
          <w:sz w:val="18"/>
          <w:szCs w:val="18"/>
          <w:lang w:val="it-IT" w:eastAsia="cs-CZ"/>
        </w:rPr>
      </w:pPr>
      <w:r w:rsidRPr="0085624C">
        <w:rPr>
          <w:sz w:val="18"/>
          <w:szCs w:val="18"/>
          <w:lang w:eastAsia="cs-CZ"/>
        </w:rPr>
        <w:t xml:space="preserve">[1] Lheureux, </w:t>
      </w:r>
      <w:r w:rsidR="009A5E69" w:rsidRPr="0085624C">
        <w:rPr>
          <w:sz w:val="18"/>
          <w:szCs w:val="18"/>
          <w:lang w:eastAsia="cs-CZ"/>
        </w:rPr>
        <w:t>P. E. R.</w:t>
      </w:r>
      <w:r w:rsidR="009A5E69">
        <w:rPr>
          <w:sz w:val="18"/>
          <w:szCs w:val="18"/>
          <w:lang w:eastAsia="cs-CZ"/>
        </w:rPr>
        <w:t xml:space="preserve">, </w:t>
      </w:r>
      <w:proofErr w:type="spellStart"/>
      <w:r w:rsidRPr="0085624C">
        <w:rPr>
          <w:sz w:val="18"/>
          <w:szCs w:val="18"/>
          <w:lang w:eastAsia="cs-CZ"/>
        </w:rPr>
        <w:t>Hantson</w:t>
      </w:r>
      <w:proofErr w:type="spellEnd"/>
      <w:r w:rsidRPr="0085624C">
        <w:rPr>
          <w:sz w:val="18"/>
          <w:szCs w:val="18"/>
          <w:lang w:eastAsia="cs-CZ"/>
        </w:rPr>
        <w:t xml:space="preserve">, </w:t>
      </w:r>
      <w:r w:rsidR="009A5E69" w:rsidRPr="0085624C">
        <w:rPr>
          <w:sz w:val="18"/>
          <w:szCs w:val="18"/>
          <w:lang w:eastAsia="cs-CZ"/>
        </w:rPr>
        <w:t>P.</w:t>
      </w:r>
      <w:r w:rsidR="009A5E69">
        <w:rPr>
          <w:sz w:val="18"/>
          <w:szCs w:val="18"/>
          <w:lang w:eastAsia="cs-CZ"/>
        </w:rPr>
        <w:t xml:space="preserve"> </w:t>
      </w:r>
      <w:r w:rsidR="009A5E69" w:rsidRPr="00D45448">
        <w:rPr>
          <w:sz w:val="18"/>
          <w:szCs w:val="18"/>
          <w:lang w:eastAsia="cs-CZ"/>
        </w:rPr>
        <w:t>(2009)</w:t>
      </w:r>
      <w:r w:rsidR="00D45448" w:rsidRPr="00D45448">
        <w:rPr>
          <w:sz w:val="18"/>
          <w:szCs w:val="18"/>
          <w:lang w:eastAsia="cs-CZ"/>
        </w:rPr>
        <w:t>.</w:t>
      </w:r>
      <w:r w:rsidR="009A5E69" w:rsidRPr="00D45448">
        <w:rPr>
          <w:sz w:val="18"/>
          <w:szCs w:val="18"/>
          <w:lang w:eastAsia="cs-CZ"/>
        </w:rPr>
        <w:t xml:space="preserve"> </w:t>
      </w:r>
      <w:r w:rsidRPr="00D45448">
        <w:rPr>
          <w:i/>
          <w:iCs/>
          <w:sz w:val="18"/>
          <w:szCs w:val="18"/>
          <w:lang w:val="it-IT" w:eastAsia="cs-CZ"/>
        </w:rPr>
        <w:t xml:space="preserve">Clin. </w:t>
      </w:r>
      <w:r w:rsidRPr="0085624C">
        <w:rPr>
          <w:i/>
          <w:iCs/>
          <w:sz w:val="18"/>
          <w:szCs w:val="18"/>
          <w:lang w:val="it-IT" w:eastAsia="cs-CZ"/>
        </w:rPr>
        <w:t>Toxicol.</w:t>
      </w:r>
      <w:r w:rsidRPr="0085624C">
        <w:rPr>
          <w:sz w:val="18"/>
          <w:szCs w:val="18"/>
          <w:lang w:val="it-IT" w:eastAsia="cs-CZ"/>
        </w:rPr>
        <w:t xml:space="preserve"> </w:t>
      </w:r>
      <w:r w:rsidRPr="0085624C">
        <w:rPr>
          <w:b/>
          <w:bCs/>
          <w:sz w:val="18"/>
          <w:szCs w:val="18"/>
          <w:lang w:val="it-IT" w:eastAsia="cs-CZ"/>
        </w:rPr>
        <w:t>47</w:t>
      </w:r>
      <w:r w:rsidRPr="0085624C">
        <w:rPr>
          <w:sz w:val="18"/>
          <w:szCs w:val="18"/>
          <w:lang w:val="it-IT" w:eastAsia="cs-CZ"/>
        </w:rPr>
        <w:t xml:space="preserve">, </w:t>
      </w:r>
      <w:r w:rsidR="00D45448">
        <w:rPr>
          <w:sz w:val="18"/>
          <w:szCs w:val="18"/>
          <w:lang w:val="it-IT" w:eastAsia="cs-CZ"/>
        </w:rPr>
        <w:t xml:space="preserve">pp. </w:t>
      </w:r>
      <w:r w:rsidRPr="0085624C">
        <w:rPr>
          <w:sz w:val="18"/>
          <w:szCs w:val="18"/>
          <w:lang w:val="it-IT" w:eastAsia="cs-CZ"/>
        </w:rPr>
        <w:t>101–111</w:t>
      </w:r>
      <w:r w:rsidR="00D45448">
        <w:rPr>
          <w:sz w:val="18"/>
          <w:szCs w:val="18"/>
          <w:lang w:val="it-IT" w:eastAsia="cs-CZ"/>
        </w:rPr>
        <w:t>.</w:t>
      </w:r>
    </w:p>
    <w:p w14:paraId="27E94063" w14:textId="33B04371" w:rsidR="0085624C" w:rsidRPr="0085624C" w:rsidRDefault="0085624C" w:rsidP="0085624C">
      <w:pPr>
        <w:rPr>
          <w:sz w:val="18"/>
          <w:szCs w:val="18"/>
          <w:lang w:eastAsia="cs-CZ"/>
        </w:rPr>
      </w:pPr>
      <w:r w:rsidRPr="0085624C">
        <w:rPr>
          <w:sz w:val="18"/>
          <w:szCs w:val="18"/>
          <w:lang w:val="it-IT" w:eastAsia="cs-CZ"/>
        </w:rPr>
        <w:t xml:space="preserve">[2] Bordignon, </w:t>
      </w:r>
      <w:r w:rsidR="00D45448" w:rsidRPr="0085624C">
        <w:rPr>
          <w:sz w:val="18"/>
          <w:szCs w:val="18"/>
          <w:lang w:val="it-IT" w:eastAsia="cs-CZ"/>
        </w:rPr>
        <w:t>S.</w:t>
      </w:r>
      <w:r w:rsidR="00D45448">
        <w:rPr>
          <w:sz w:val="18"/>
          <w:szCs w:val="18"/>
          <w:lang w:val="it-IT" w:eastAsia="cs-CZ"/>
        </w:rPr>
        <w:t xml:space="preserve">, </w:t>
      </w:r>
      <w:r w:rsidRPr="0085624C">
        <w:rPr>
          <w:sz w:val="18"/>
          <w:szCs w:val="18"/>
          <w:lang w:val="it-IT" w:eastAsia="cs-CZ"/>
        </w:rPr>
        <w:t xml:space="preserve">Bravetti, </w:t>
      </w:r>
      <w:r w:rsidR="00D45448" w:rsidRPr="0085624C">
        <w:rPr>
          <w:sz w:val="18"/>
          <w:szCs w:val="18"/>
          <w:lang w:val="it-IT" w:eastAsia="cs-CZ"/>
        </w:rPr>
        <w:t>F.</w:t>
      </w:r>
      <w:r w:rsidR="00D45448">
        <w:rPr>
          <w:sz w:val="18"/>
          <w:szCs w:val="18"/>
          <w:lang w:val="it-IT" w:eastAsia="cs-CZ"/>
        </w:rPr>
        <w:t>,</w:t>
      </w:r>
      <w:r w:rsidR="00D45448" w:rsidRPr="0085624C">
        <w:rPr>
          <w:sz w:val="18"/>
          <w:szCs w:val="18"/>
          <w:lang w:val="it-IT" w:eastAsia="cs-CZ"/>
        </w:rPr>
        <w:t xml:space="preserve"> </w:t>
      </w:r>
      <w:r w:rsidRPr="0085624C">
        <w:rPr>
          <w:sz w:val="18"/>
          <w:szCs w:val="18"/>
          <w:lang w:val="it-IT" w:eastAsia="cs-CZ"/>
        </w:rPr>
        <w:t xml:space="preserve">Gallo, </w:t>
      </w:r>
      <w:r w:rsidR="00D45448" w:rsidRPr="0085624C">
        <w:rPr>
          <w:sz w:val="18"/>
          <w:szCs w:val="18"/>
          <w:lang w:val="it-IT" w:eastAsia="cs-CZ"/>
        </w:rPr>
        <w:t>A.</w:t>
      </w:r>
      <w:r w:rsidR="00D45448">
        <w:rPr>
          <w:sz w:val="18"/>
          <w:szCs w:val="18"/>
          <w:lang w:val="it-IT" w:eastAsia="cs-CZ"/>
        </w:rPr>
        <w:t>,</w:t>
      </w:r>
      <w:r w:rsidR="00D45448" w:rsidRPr="0085624C">
        <w:rPr>
          <w:sz w:val="18"/>
          <w:szCs w:val="18"/>
          <w:lang w:val="it-IT" w:eastAsia="cs-CZ"/>
        </w:rPr>
        <w:t xml:space="preserve"> </w:t>
      </w:r>
      <w:r w:rsidRPr="0085624C">
        <w:rPr>
          <w:sz w:val="18"/>
          <w:szCs w:val="18"/>
          <w:lang w:val="it-IT" w:eastAsia="cs-CZ"/>
        </w:rPr>
        <w:t xml:space="preserve">Gobetto, </w:t>
      </w:r>
      <w:r w:rsidR="00D45448" w:rsidRPr="0085624C">
        <w:rPr>
          <w:sz w:val="18"/>
          <w:szCs w:val="18"/>
          <w:lang w:val="it-IT" w:eastAsia="cs-CZ"/>
        </w:rPr>
        <w:t>R.</w:t>
      </w:r>
      <w:r w:rsidR="00D45448">
        <w:rPr>
          <w:sz w:val="18"/>
          <w:szCs w:val="18"/>
          <w:lang w:val="it-IT" w:eastAsia="cs-CZ"/>
        </w:rPr>
        <w:t>,</w:t>
      </w:r>
      <w:r w:rsidR="00D45448" w:rsidRPr="0085624C">
        <w:rPr>
          <w:sz w:val="18"/>
          <w:szCs w:val="18"/>
          <w:lang w:val="it-IT" w:eastAsia="cs-CZ"/>
        </w:rPr>
        <w:t xml:space="preserve"> </w:t>
      </w:r>
      <w:r w:rsidRPr="0085624C">
        <w:rPr>
          <w:sz w:val="18"/>
          <w:szCs w:val="18"/>
          <w:lang w:val="it-IT" w:eastAsia="cs-CZ"/>
        </w:rPr>
        <w:t>Chierotti</w:t>
      </w:r>
      <w:r w:rsidR="007330E3">
        <w:rPr>
          <w:sz w:val="18"/>
          <w:szCs w:val="18"/>
          <w:lang w:val="it-IT" w:eastAsia="cs-CZ"/>
        </w:rPr>
        <w:t>,</w:t>
      </w:r>
      <w:r w:rsidR="00D45448" w:rsidRPr="00D45448">
        <w:rPr>
          <w:sz w:val="18"/>
          <w:szCs w:val="18"/>
          <w:lang w:val="it-IT" w:eastAsia="cs-CZ"/>
        </w:rPr>
        <w:t xml:space="preserve"> </w:t>
      </w:r>
      <w:r w:rsidR="00D45448" w:rsidRPr="0085624C">
        <w:rPr>
          <w:sz w:val="18"/>
          <w:szCs w:val="18"/>
          <w:lang w:val="it-IT" w:eastAsia="cs-CZ"/>
        </w:rPr>
        <w:t>M. R.</w:t>
      </w:r>
      <w:r w:rsidRPr="0085624C">
        <w:rPr>
          <w:sz w:val="18"/>
          <w:szCs w:val="18"/>
          <w:lang w:val="it-IT" w:eastAsia="cs-CZ"/>
        </w:rPr>
        <w:t xml:space="preserve"> </w:t>
      </w:r>
      <w:r w:rsidR="007330E3" w:rsidRPr="007330E3">
        <w:rPr>
          <w:sz w:val="18"/>
          <w:szCs w:val="18"/>
          <w:lang w:val="it-IT" w:eastAsia="cs-CZ"/>
        </w:rPr>
        <w:t>(2023)</w:t>
      </w:r>
      <w:r w:rsidR="007330E3">
        <w:rPr>
          <w:sz w:val="18"/>
          <w:szCs w:val="18"/>
          <w:lang w:val="it-IT" w:eastAsia="cs-CZ"/>
        </w:rPr>
        <w:t xml:space="preserve">. </w:t>
      </w:r>
      <w:r w:rsidRPr="0085624C">
        <w:rPr>
          <w:sz w:val="18"/>
          <w:szCs w:val="18"/>
          <w:lang w:val="it-IT" w:eastAsia="cs-CZ"/>
        </w:rPr>
        <w:t xml:space="preserve">Co-cristallo farmaco-farmaco di L-carnitina e acido valproico. </w:t>
      </w:r>
      <w:r w:rsidRPr="0085624C">
        <w:rPr>
          <w:sz w:val="18"/>
          <w:szCs w:val="18"/>
          <w:lang w:eastAsia="cs-CZ"/>
        </w:rPr>
        <w:t>Patent n. IT 102023000027489</w:t>
      </w:r>
      <w:r w:rsidR="007330E3">
        <w:rPr>
          <w:sz w:val="18"/>
          <w:szCs w:val="18"/>
          <w:lang w:eastAsia="cs-CZ"/>
        </w:rPr>
        <w:t>.</w:t>
      </w:r>
    </w:p>
    <w:p w14:paraId="34BACE60" w14:textId="065BC40C" w:rsidR="00E633CE" w:rsidRPr="007330E3" w:rsidRDefault="0085624C" w:rsidP="007330E3">
      <w:pPr>
        <w:rPr>
          <w:sz w:val="18"/>
          <w:szCs w:val="18"/>
          <w:lang w:eastAsia="cs-CZ"/>
        </w:rPr>
      </w:pPr>
      <w:r w:rsidRPr="0085624C">
        <w:rPr>
          <w:sz w:val="18"/>
          <w:szCs w:val="18"/>
          <w:lang w:eastAsia="cs-CZ"/>
        </w:rPr>
        <w:t xml:space="preserve">[3] Harris, </w:t>
      </w:r>
      <w:r w:rsidR="007330E3" w:rsidRPr="0085624C">
        <w:rPr>
          <w:sz w:val="18"/>
          <w:szCs w:val="18"/>
          <w:lang w:eastAsia="cs-CZ"/>
        </w:rPr>
        <w:t xml:space="preserve">K. D. M. </w:t>
      </w:r>
      <w:r w:rsidR="007330E3">
        <w:rPr>
          <w:sz w:val="18"/>
          <w:szCs w:val="18"/>
          <w:lang w:eastAsia="cs-CZ"/>
        </w:rPr>
        <w:t xml:space="preserve">(2022). </w:t>
      </w:r>
      <w:r w:rsidRPr="0085624C">
        <w:rPr>
          <w:i/>
          <w:iCs/>
          <w:sz w:val="18"/>
          <w:szCs w:val="18"/>
          <w:lang w:eastAsia="cs-CZ"/>
        </w:rPr>
        <w:t>Crystals</w:t>
      </w:r>
      <w:r w:rsidRPr="0085624C">
        <w:rPr>
          <w:sz w:val="18"/>
          <w:szCs w:val="18"/>
          <w:lang w:eastAsia="cs-CZ"/>
        </w:rPr>
        <w:t xml:space="preserve"> </w:t>
      </w:r>
      <w:r w:rsidRPr="0085624C">
        <w:rPr>
          <w:b/>
          <w:bCs/>
          <w:sz w:val="18"/>
          <w:szCs w:val="18"/>
          <w:lang w:eastAsia="cs-CZ"/>
        </w:rPr>
        <w:t>12</w:t>
      </w:r>
      <w:r w:rsidRPr="0085624C">
        <w:rPr>
          <w:sz w:val="18"/>
          <w:szCs w:val="18"/>
          <w:lang w:eastAsia="cs-CZ"/>
        </w:rPr>
        <w:t>, 1277</w:t>
      </w:r>
      <w:r w:rsidR="007330E3">
        <w:rPr>
          <w:sz w:val="18"/>
          <w:szCs w:val="18"/>
          <w:lang w:eastAsia="cs-CZ"/>
        </w:rPr>
        <w:t>.</w:t>
      </w:r>
    </w:p>
    <w:sectPr w:rsidR="00E633CE" w:rsidRPr="007330E3">
      <w:headerReference w:type="default" r:id="rId8"/>
      <w:footerReference w:type="default" r:id="rId9"/>
      <w:pgSz w:w="12240" w:h="15840"/>
      <w:pgMar w:top="765" w:right="720" w:bottom="765" w:left="720" w:header="708" w:footer="708" w:gutter="0"/>
      <w:cols w:space="720"/>
      <w:formProt w:val="0"/>
      <w:docGrid w:linePitch="272" w:charSpace="163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48D528" w14:textId="77777777" w:rsidR="0085624C" w:rsidRDefault="0085624C">
      <w:pPr>
        <w:spacing w:after="0"/>
      </w:pPr>
      <w:r>
        <w:separator/>
      </w:r>
    </w:p>
  </w:endnote>
  <w:endnote w:type="continuationSeparator" w:id="0">
    <w:p w14:paraId="405AE968" w14:textId="77777777" w:rsidR="0085624C" w:rsidRDefault="0085624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DCBA0" w14:textId="77777777" w:rsidR="00E633CE" w:rsidRDefault="0085624C">
    <w:pPr>
      <w:pStyle w:val="Footer"/>
    </w:pPr>
    <w:r>
      <w:t xml:space="preserve">Acta </w:t>
    </w:r>
    <w:proofErr w:type="spellStart"/>
    <w:r>
      <w:t>Cryst</w:t>
    </w:r>
    <w:proofErr w:type="spellEnd"/>
    <w:r>
      <w:t>. (2025). A81, e1</w:t>
    </w:r>
  </w:p>
  <w:p w14:paraId="3AC9A88B" w14:textId="77777777" w:rsidR="00E633CE" w:rsidRDefault="00E633CE">
    <w:pPr>
      <w:tabs>
        <w:tab w:val="center" w:pos="4703"/>
        <w:tab w:val="right" w:pos="940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026FA0" w14:textId="77777777" w:rsidR="0085624C" w:rsidRDefault="0085624C">
      <w:pPr>
        <w:spacing w:after="0"/>
      </w:pPr>
      <w:r>
        <w:separator/>
      </w:r>
    </w:p>
  </w:footnote>
  <w:footnote w:type="continuationSeparator" w:id="0">
    <w:p w14:paraId="3C0622D4" w14:textId="77777777" w:rsidR="0085624C" w:rsidRDefault="0085624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D745B" w14:textId="77777777" w:rsidR="00E633CE" w:rsidRDefault="0085624C">
    <w:pPr>
      <w:tabs>
        <w:tab w:val="center" w:pos="4703"/>
        <w:tab w:val="right" w:pos="9406"/>
      </w:tabs>
    </w:pPr>
    <w:r>
      <w:rPr>
        <w:b/>
        <w:bCs/>
      </w:rPr>
      <w:t>MS</w:t>
    </w:r>
    <w:r>
      <w:tab/>
    </w:r>
    <w:proofErr w:type="spellStart"/>
    <w:r>
      <w:rPr>
        <w:b/>
        <w:bCs/>
      </w:rPr>
      <w:t>Microsymposium</w:t>
    </w:r>
    <w:proofErr w:type="spellEnd"/>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SystemFonts/>
  <w:proofState w:spelling="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33CE"/>
    <w:rsid w:val="000A41CC"/>
    <w:rsid w:val="000E221D"/>
    <w:rsid w:val="0029512E"/>
    <w:rsid w:val="003F1D93"/>
    <w:rsid w:val="007330E3"/>
    <w:rsid w:val="007A0D42"/>
    <w:rsid w:val="00823460"/>
    <w:rsid w:val="00835BAE"/>
    <w:rsid w:val="0085624C"/>
    <w:rsid w:val="00864B26"/>
    <w:rsid w:val="008B5E6F"/>
    <w:rsid w:val="009A5E69"/>
    <w:rsid w:val="009B0790"/>
    <w:rsid w:val="00A32199"/>
    <w:rsid w:val="00AB19FF"/>
    <w:rsid w:val="00B14667"/>
    <w:rsid w:val="00CA3C4D"/>
    <w:rsid w:val="00D45448"/>
    <w:rsid w:val="00DF6EFC"/>
    <w:rsid w:val="00E57E65"/>
    <w:rsid w:val="00E633CE"/>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58F59F"/>
  <w15:docId w15:val="{AA0C61B3-1E53-4A5B-8517-05191A2D5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pPr>
        <w:suppressAutoHyphens/>
      </w:pPr>
    </w:pPrDefault>
  </w:docDefaults>
  <w:latentStyles w:defLockedState="0" w:defUIPriority="99" w:defSemiHidden="0" w:defUnhideWhenUsed="0" w:defQFormat="0" w:count="376">
    <w:lsdException w:name="Normal" w:uiPriority="0"/>
    <w:lsdException w:name="heading 5" w:semiHidden="1" w:uiPriority="9" w:unhideWhenUsed="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5275"/>
    <w:pPr>
      <w:spacing w:after="120"/>
      <w:jc w:val="both"/>
    </w:pPr>
    <w:rPr>
      <w:lang w:eastAsia="de-DE"/>
    </w:rPr>
  </w:style>
  <w:style w:type="paragraph" w:styleId="Heading1">
    <w:name w:val="heading 1"/>
    <w:basedOn w:val="Normal"/>
    <w:next w:val="Heading2"/>
    <w:link w:val="Heading1Char"/>
    <w:uiPriority w:val="99"/>
    <w:qFormat/>
    <w:rsid w:val="00925275"/>
    <w:pPr>
      <w:keepNext/>
      <w:spacing w:before="240" w:after="60"/>
      <w:jc w:val="center"/>
      <w:outlineLvl w:val="0"/>
    </w:pPr>
    <w:rPr>
      <w:rFonts w:ascii="Arial" w:hAnsi="Arial" w:cs="Arial"/>
      <w:b/>
      <w:bCs/>
      <w:kern w:val="2"/>
      <w:sz w:val="24"/>
      <w:szCs w:val="32"/>
    </w:rPr>
  </w:style>
  <w:style w:type="paragraph" w:styleId="Heading2">
    <w:name w:val="heading 2"/>
    <w:basedOn w:val="Normal"/>
    <w:next w:val="Heading3"/>
    <w:link w:val="Heading2Char"/>
    <w:uiPriority w:val="99"/>
    <w:qFormat/>
    <w:rsid w:val="00925275"/>
    <w:pPr>
      <w:keepNext/>
      <w:spacing w:before="240" w:after="240"/>
      <w:jc w:val="center"/>
      <w:outlineLvl w:val="1"/>
    </w:pPr>
    <w:rPr>
      <w:rFonts w:ascii="Arial" w:hAnsi="Arial" w:cs="Arial"/>
      <w:b/>
      <w:bCs/>
      <w:iCs/>
      <w:szCs w:val="28"/>
    </w:rPr>
  </w:style>
  <w:style w:type="paragraph" w:styleId="Heading3">
    <w:name w:val="heading 3"/>
    <w:basedOn w:val="Normal"/>
    <w:next w:val="Normal"/>
    <w:link w:val="Heading3Char"/>
    <w:uiPriority w:val="99"/>
    <w:qFormat/>
    <w:rsid w:val="002E03DB"/>
    <w:pPr>
      <w:keepNext/>
      <w:jc w:val="center"/>
      <w:outlineLvl w:val="2"/>
    </w:pPr>
    <w:rPr>
      <w:bCs/>
      <w:i/>
      <w:szCs w:val="24"/>
      <w:lang w:eastAsia="cs-CZ"/>
    </w:rPr>
  </w:style>
  <w:style w:type="paragraph" w:styleId="Heading4">
    <w:name w:val="heading 4"/>
    <w:basedOn w:val="Normal"/>
    <w:next w:val="Normal"/>
    <w:link w:val="Heading4Char"/>
    <w:uiPriority w:val="99"/>
    <w:qFormat/>
    <w:rsid w:val="00FF732E"/>
    <w:pPr>
      <w:keepNext/>
      <w:ind w:left="567" w:hanging="567"/>
      <w:outlineLvl w:val="3"/>
    </w:pPr>
    <w:rPr>
      <w:bCs/>
      <w:sz w:val="18"/>
      <w:szCs w:val="24"/>
      <w:lang w:eastAsia="cs-CZ"/>
    </w:rPr>
  </w:style>
  <w:style w:type="paragraph" w:styleId="Heading5">
    <w:name w:val="heading 5"/>
    <w:basedOn w:val="Heading6"/>
    <w:next w:val="Normal"/>
    <w:link w:val="Heading5Char"/>
    <w:uiPriority w:val="9"/>
    <w:unhideWhenUsed/>
    <w:qFormat/>
    <w:rsid w:val="00605A18"/>
    <w:pPr>
      <w:outlineLvl w:val="4"/>
    </w:pPr>
    <w:rPr>
      <w:b/>
    </w:rPr>
  </w:style>
  <w:style w:type="paragraph" w:styleId="Heading6">
    <w:name w:val="heading 6"/>
    <w:basedOn w:val="Normal"/>
    <w:next w:val="Normal"/>
    <w:link w:val="Heading6Char"/>
    <w:uiPriority w:val="9"/>
    <w:unhideWhenUsed/>
    <w:qFormat/>
    <w:rsid w:val="00777DA8"/>
    <w:pPr>
      <w:spacing w:after="60"/>
      <w:jc w:val="center"/>
      <w:outlineLvl w:val="5"/>
    </w:pPr>
    <w:rPr>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qFormat/>
    <w:locked/>
    <w:rsid w:val="00925275"/>
    <w:rPr>
      <w:rFonts w:ascii="Arial" w:hAnsi="Arial" w:cs="Arial"/>
      <w:b/>
      <w:bCs/>
      <w:kern w:val="2"/>
      <w:sz w:val="24"/>
      <w:szCs w:val="32"/>
      <w:lang w:val="en-GB" w:eastAsia="de-DE"/>
    </w:rPr>
  </w:style>
  <w:style w:type="character" w:customStyle="1" w:styleId="Heading2Char">
    <w:name w:val="Heading 2 Char"/>
    <w:link w:val="Heading2"/>
    <w:uiPriority w:val="99"/>
    <w:qFormat/>
    <w:locked/>
    <w:rsid w:val="00925275"/>
    <w:rPr>
      <w:rFonts w:ascii="Arial" w:hAnsi="Arial" w:cs="Arial"/>
      <w:b/>
      <w:bCs/>
      <w:iCs/>
      <w:sz w:val="22"/>
      <w:szCs w:val="28"/>
      <w:lang w:val="en-GB" w:eastAsia="de-DE"/>
    </w:rPr>
  </w:style>
  <w:style w:type="character" w:customStyle="1" w:styleId="Heading3Char">
    <w:name w:val="Heading 3 Char"/>
    <w:link w:val="Heading3"/>
    <w:uiPriority w:val="99"/>
    <w:qFormat/>
    <w:locked/>
    <w:rsid w:val="002E03DB"/>
    <w:rPr>
      <w:bCs/>
      <w:i/>
      <w:sz w:val="22"/>
      <w:szCs w:val="24"/>
      <w:lang w:val="en-GB"/>
    </w:rPr>
  </w:style>
  <w:style w:type="character" w:customStyle="1" w:styleId="Heading4Char">
    <w:name w:val="Heading 4 Char"/>
    <w:link w:val="Heading4"/>
    <w:uiPriority w:val="99"/>
    <w:qFormat/>
    <w:locked/>
    <w:rsid w:val="00FF732E"/>
    <w:rPr>
      <w:bCs/>
      <w:sz w:val="18"/>
      <w:szCs w:val="24"/>
      <w:lang w:val="en-GB"/>
    </w:rPr>
  </w:style>
  <w:style w:type="character" w:customStyle="1" w:styleId="HTMLAddressChar">
    <w:name w:val="HTML Address Char"/>
    <w:link w:val="HTMLAddress"/>
    <w:uiPriority w:val="99"/>
    <w:semiHidden/>
    <w:qFormat/>
    <w:rsid w:val="005E6DCD"/>
    <w:rPr>
      <w:i/>
      <w:iCs/>
      <w:lang w:val="de-DE" w:eastAsia="de-DE"/>
    </w:rPr>
  </w:style>
  <w:style w:type="character" w:customStyle="1" w:styleId="Heading5Char">
    <w:name w:val="Heading 5 Char"/>
    <w:link w:val="Heading5"/>
    <w:uiPriority w:val="9"/>
    <w:qFormat/>
    <w:rsid w:val="00605A18"/>
    <w:rPr>
      <w:b/>
      <w:bCs/>
      <w:szCs w:val="22"/>
      <w:lang w:val="en-GB" w:eastAsia="de-DE"/>
    </w:rPr>
  </w:style>
  <w:style w:type="character" w:customStyle="1" w:styleId="Heading6Char">
    <w:name w:val="Heading 6 Char"/>
    <w:link w:val="Heading6"/>
    <w:uiPriority w:val="9"/>
    <w:qFormat/>
    <w:rsid w:val="00777DA8"/>
    <w:rPr>
      <w:rFonts w:eastAsia="Times New Roman" w:cs="Times New Roman"/>
      <w:bCs/>
      <w:szCs w:val="22"/>
      <w:lang w:val="de-DE" w:eastAsia="de-DE"/>
    </w:rPr>
  </w:style>
  <w:style w:type="character" w:customStyle="1" w:styleId="HeaderChar">
    <w:name w:val="Header Char"/>
    <w:link w:val="Header"/>
    <w:uiPriority w:val="99"/>
    <w:qFormat/>
    <w:rsid w:val="00D13351"/>
    <w:rPr>
      <w:lang w:val="en-GB" w:eastAsia="de-DE"/>
    </w:rPr>
  </w:style>
  <w:style w:type="character" w:customStyle="1" w:styleId="FooterChar">
    <w:name w:val="Footer Char"/>
    <w:link w:val="Footer"/>
    <w:uiPriority w:val="99"/>
    <w:qFormat/>
    <w:rsid w:val="00D13351"/>
    <w:rPr>
      <w:lang w:val="en-GB" w:eastAsia="de-DE"/>
    </w:rPr>
  </w:style>
  <w:style w:type="character" w:customStyle="1" w:styleId="BalloonTextChar">
    <w:name w:val="Balloon Text Char"/>
    <w:link w:val="BalloonText"/>
    <w:uiPriority w:val="99"/>
    <w:semiHidden/>
    <w:qFormat/>
    <w:rsid w:val="00C64DBE"/>
    <w:rPr>
      <w:rFonts w:ascii="Tahoma" w:hAnsi="Tahoma" w:cs="Tahoma"/>
      <w:sz w:val="16"/>
      <w:szCs w:val="16"/>
      <w:lang w:val="en-GB" w:eastAsia="de-DE"/>
    </w:rPr>
  </w:style>
  <w:style w:type="paragraph" w:customStyle="1" w:styleId="Heading">
    <w:name w:val="Heading"/>
    <w:basedOn w:val="Normal"/>
    <w:next w:val="BodyText"/>
    <w:qFormat/>
    <w:pPr>
      <w:keepNext/>
      <w:spacing w:before="24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customStyle="1" w:styleId="Acknowledgement">
    <w:name w:val="Acknowledgement"/>
    <w:basedOn w:val="Normal"/>
    <w:qFormat/>
    <w:rsid w:val="00777DA8"/>
    <w:rPr>
      <w:i/>
    </w:rPr>
  </w:style>
  <w:style w:type="paragraph" w:styleId="HTMLAddress">
    <w:name w:val="HTML Address"/>
    <w:basedOn w:val="Normal"/>
    <w:link w:val="HTMLAddressChar"/>
    <w:uiPriority w:val="99"/>
    <w:semiHidden/>
    <w:unhideWhenUsed/>
    <w:qFormat/>
    <w:rsid w:val="005E6DCD"/>
    <w:rPr>
      <w:i/>
      <w:iCs/>
    </w:rPr>
  </w:style>
  <w:style w:type="paragraph" w:customStyle="1" w:styleId="HeaderandFooter">
    <w:name w:val="Header and Footer"/>
    <w:basedOn w:val="Normal"/>
    <w:qFormat/>
  </w:style>
  <w:style w:type="paragraph" w:styleId="Header">
    <w:name w:val="header"/>
    <w:basedOn w:val="Normal"/>
    <w:link w:val="HeaderChar"/>
    <w:uiPriority w:val="99"/>
    <w:unhideWhenUsed/>
    <w:rsid w:val="00D13351"/>
    <w:pPr>
      <w:tabs>
        <w:tab w:val="center" w:pos="4536"/>
        <w:tab w:val="right" w:pos="9072"/>
      </w:tabs>
    </w:pPr>
  </w:style>
  <w:style w:type="paragraph" w:styleId="Footer">
    <w:name w:val="footer"/>
    <w:basedOn w:val="Normal"/>
    <w:link w:val="FooterChar"/>
    <w:uiPriority w:val="99"/>
    <w:unhideWhenUsed/>
    <w:rsid w:val="00D13351"/>
    <w:pPr>
      <w:tabs>
        <w:tab w:val="center" w:pos="4536"/>
        <w:tab w:val="right" w:pos="9072"/>
      </w:tabs>
    </w:pPr>
  </w:style>
  <w:style w:type="paragraph" w:styleId="BalloonText">
    <w:name w:val="Balloon Text"/>
    <w:basedOn w:val="Normal"/>
    <w:link w:val="BalloonTextChar"/>
    <w:uiPriority w:val="99"/>
    <w:semiHidden/>
    <w:unhideWhenUsed/>
    <w:qFormat/>
    <w:rsid w:val="00C64DBE"/>
    <w:pPr>
      <w:spacing w:after="0"/>
    </w:pPr>
    <w:rPr>
      <w:rFonts w:ascii="Tahoma" w:hAnsi="Tahoma" w:cs="Tahoma"/>
      <w:sz w:val="16"/>
      <w:szCs w:val="16"/>
    </w:rPr>
  </w:style>
  <w:style w:type="table" w:styleId="TableGrid">
    <w:name w:val="Table Grid"/>
    <w:basedOn w:val="TableNormal"/>
    <w:uiPriority w:val="99"/>
    <w:rsid w:val="00C263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21E0AE-6DDE-4FDB-AD25-D0DA1D2E6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398</Words>
  <Characters>2274</Characters>
  <Application>Microsoft Office Word</Application>
  <DocSecurity>0</DocSecurity>
  <Lines>18</Lines>
  <Paragraphs>5</Paragraphs>
  <ScaleCrop>false</ScaleCrop>
  <Company>MFF UK</Company>
  <LinksUpToDate>false</LinksUpToDate>
  <CharactersWithSpaces>2667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Materials Structure</dc:title>
  <dc:subject/>
  <dc:creator>Uživatel systému Windows</dc:creator>
  <dc:description/>
  <cp:lastModifiedBy>Federica Bravetti</cp:lastModifiedBy>
  <cp:revision>18</cp:revision>
  <dcterms:created xsi:type="dcterms:W3CDTF">2025-04-22T11:32:00Z</dcterms:created>
  <dcterms:modified xsi:type="dcterms:W3CDTF">2025-04-22T13:53:00Z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